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67459D" w:rsidTr="0067459D">
        <w:trPr>
          <w:trHeight w:val="360"/>
          <w:jc w:val="center"/>
        </w:trPr>
        <w:tc>
          <w:tcPr>
            <w:tcW w:w="9365" w:type="dxa"/>
            <w:hideMark/>
          </w:tcPr>
          <w:p w:rsidR="0067459D" w:rsidRDefault="00237B27" w:rsidP="005D2DA5">
            <w:pPr>
              <w:suppressLineNumbers/>
              <w:spacing w:line="360" w:lineRule="auto"/>
              <w:ind w:left="319"/>
              <w:jc w:val="both"/>
              <w:rPr>
                <w:b/>
                <w:bCs/>
              </w:rPr>
            </w:pPr>
            <w:r>
              <w:rPr>
                <w:rFonts w:hint="cs"/>
                <w:b/>
                <w:bCs/>
                <w:rtl/>
              </w:rPr>
              <w:t>לפני הרכב כבוד השופטים:</w:t>
            </w:r>
          </w:p>
          <w:p w:rsidR="0067459D" w:rsidRDefault="00237B27" w:rsidP="005D2DA5">
            <w:pPr>
              <w:suppressLineNumbers/>
              <w:spacing w:line="360" w:lineRule="auto"/>
              <w:ind w:left="319"/>
              <w:jc w:val="both"/>
              <w:rPr>
                <w:b/>
                <w:bCs/>
                <w:rtl/>
              </w:rPr>
            </w:pPr>
            <w:r>
              <w:rPr>
                <w:rFonts w:hint="cs"/>
                <w:b/>
                <w:bCs/>
                <w:rtl/>
              </w:rPr>
              <w:t>חננאל שרעבי [אב"ד]</w:t>
            </w:r>
          </w:p>
          <w:p w:rsidR="0067459D" w:rsidRDefault="00237B27" w:rsidP="005D2DA5">
            <w:pPr>
              <w:suppressLineNumbers/>
              <w:spacing w:line="360" w:lineRule="auto"/>
              <w:ind w:left="319"/>
              <w:jc w:val="both"/>
              <w:rPr>
                <w:b/>
                <w:bCs/>
                <w:rtl/>
              </w:rPr>
            </w:pPr>
            <w:r>
              <w:rPr>
                <w:rFonts w:hint="cs"/>
                <w:b/>
                <w:bCs/>
                <w:rtl/>
              </w:rPr>
              <w:t>אספרנצה אלון</w:t>
            </w:r>
          </w:p>
          <w:p w:rsidR="0067459D" w:rsidRDefault="00237B27">
            <w:pPr>
              <w:suppressLineNumbers/>
              <w:ind w:left="319"/>
              <w:jc w:val="both"/>
              <w:rPr>
                <w:b/>
                <w:bCs/>
                <w:rtl/>
              </w:rPr>
            </w:pPr>
            <w:r>
              <w:rPr>
                <w:rFonts w:hint="cs"/>
                <w:b/>
                <w:bCs/>
                <w:rtl/>
              </w:rPr>
              <w:t>אריה נאמן</w:t>
            </w:r>
          </w:p>
          <w:p w:rsidR="005D2DA5" w:rsidRDefault="005D2DA5">
            <w:pPr>
              <w:suppressLineNumbers/>
              <w:ind w:left="319"/>
              <w:jc w:val="both"/>
              <w:rPr>
                <w:b/>
                <w:bCs/>
                <w:rtl/>
              </w:rPr>
            </w:pPr>
          </w:p>
          <w:p w:rsidR="005D2DA5" w:rsidRDefault="005D2DA5">
            <w:pPr>
              <w:suppressLineNumbers/>
              <w:ind w:left="319"/>
              <w:jc w:val="both"/>
              <w:rPr>
                <w:b/>
                <w:bCs/>
                <w:rtl/>
              </w:rPr>
            </w:pP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67459D" w:rsidTr="0067459D">
        <w:tc>
          <w:tcPr>
            <w:tcW w:w="3246" w:type="dxa"/>
          </w:tcPr>
          <w:p w:rsidR="0067459D" w:rsidRDefault="00956119">
            <w:pPr>
              <w:suppressLineNumbers/>
              <w:rPr>
                <w:rFonts w:ascii="David" w:eastAsia="David" w:hAnsi="David"/>
                <w:b/>
                <w:bCs/>
              </w:rPr>
            </w:pPr>
          </w:p>
          <w:p w:rsidR="0067459D" w:rsidRDefault="00237B27">
            <w:pPr>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0FC4770D7BB547A1A4D0C8FE65F2D967"/>
                </w:placeholder>
                <w:text w:multiLine="1"/>
              </w:sdtPr>
              <w:sdtEndPr/>
              <w:sdtContent>
                <w:r>
                  <w:rPr>
                    <w:rFonts w:ascii="David" w:eastAsia="David" w:hAnsi="David"/>
                    <w:b/>
                    <w:bCs/>
                    <w:rtl/>
                  </w:rPr>
                  <w:t>מערער</w:t>
                </w:r>
              </w:sdtContent>
            </w:sdt>
          </w:p>
        </w:tc>
        <w:tc>
          <w:tcPr>
            <w:tcW w:w="5734" w:type="dxa"/>
          </w:tcPr>
          <w:p w:rsidR="0067459D" w:rsidRDefault="00956119">
            <w:pPr>
              <w:suppressLineNumbers/>
              <w:rPr>
                <w:b/>
                <w:bCs/>
                <w:rtl/>
              </w:rPr>
            </w:pPr>
          </w:p>
          <w:p w:rsidR="0067459D" w:rsidRDefault="00237B27" w:rsidP="00C72855">
            <w:pPr>
              <w:suppressLineNumbers/>
              <w:rPr>
                <w:rtl/>
              </w:rPr>
            </w:pPr>
            <w:r>
              <w:rPr>
                <w:rFonts w:ascii="David" w:eastAsia="David" w:hAnsi="David" w:hint="cs"/>
                <w:b/>
                <w:bCs/>
                <w:rtl/>
              </w:rPr>
              <w:t xml:space="preserve"> </w:t>
            </w:r>
            <w:sdt>
              <w:sdtPr>
                <w:rPr>
                  <w:b/>
                  <w:bCs/>
                  <w:rtl/>
                </w:rPr>
                <w:alias w:val="825"/>
                <w:tag w:val="825"/>
                <w:id w:val="-1404140937"/>
                <w:placeholder>
                  <w:docPart w:val="D4E91649847547108D7F300A7C74040C"/>
                </w:placeholder>
                <w:text w:multiLine="1"/>
              </w:sdtPr>
              <w:sdtEndPr/>
              <w:sdtContent>
                <w:r w:rsidR="00C72855">
                  <w:rPr>
                    <w:rFonts w:ascii="David" w:eastAsia="David" w:hAnsi="David"/>
                    <w:b/>
                    <w:bCs/>
                    <w:rtl/>
                  </w:rPr>
                  <w:t>א</w:t>
                </w:r>
                <w:r w:rsidR="00C72855">
                  <w:rPr>
                    <w:rFonts w:ascii="David" w:eastAsia="David" w:hAnsi="David" w:hint="cs"/>
                    <w:b/>
                    <w:bCs/>
                    <w:rtl/>
                  </w:rPr>
                  <w:t>. נ</w:t>
                </w:r>
              </w:sdtContent>
            </w:sdt>
            <w:r>
              <w:rPr>
                <w:rFonts w:hint="cs"/>
                <w:b/>
                <w:bCs/>
                <w:rtl/>
              </w:rPr>
              <w:t xml:space="preserve"> </w:t>
            </w:r>
          </w:p>
          <w:p w:rsidR="0067459D" w:rsidRDefault="00956119">
            <w:pPr>
              <w:suppressLineNumbers/>
              <w:rPr>
                <w:rFonts w:ascii="David" w:eastAsia="David" w:hAnsi="David"/>
                <w:b/>
                <w:bCs/>
              </w:rPr>
            </w:pPr>
          </w:p>
        </w:tc>
      </w:tr>
      <w:tr w:rsidR="0067459D" w:rsidTr="0067459D">
        <w:tc>
          <w:tcPr>
            <w:tcW w:w="8980" w:type="dxa"/>
            <w:gridSpan w:val="2"/>
          </w:tcPr>
          <w:p w:rsidR="0067459D" w:rsidRDefault="00956119">
            <w:pPr>
              <w:suppressLineNumbers/>
              <w:rPr>
                <w:rFonts w:ascii="David" w:eastAsia="David" w:hAnsi="David"/>
                <w:b/>
                <w:bCs/>
                <w:rtl/>
              </w:rPr>
            </w:pPr>
          </w:p>
          <w:p w:rsidR="0067459D" w:rsidRDefault="00237B27" w:rsidP="005D2DA5">
            <w:pPr>
              <w:suppressLineNumbers/>
              <w:spacing w:line="360" w:lineRule="auto"/>
              <w:jc w:val="center"/>
              <w:rPr>
                <w:rFonts w:ascii="David" w:eastAsia="David" w:hAnsi="David"/>
                <w:b/>
                <w:bCs/>
                <w:rtl/>
              </w:rPr>
            </w:pPr>
            <w:r>
              <w:rPr>
                <w:rFonts w:ascii="David" w:eastAsia="David" w:hAnsi="David" w:hint="cs"/>
                <w:b/>
                <w:bCs/>
                <w:rtl/>
              </w:rPr>
              <w:t>נגד</w:t>
            </w:r>
          </w:p>
          <w:p w:rsidR="0067459D" w:rsidRDefault="00956119">
            <w:pPr>
              <w:suppressLineNumbers/>
              <w:rPr>
                <w:rFonts w:ascii="David" w:eastAsia="David" w:hAnsi="David"/>
                <w:b/>
                <w:bCs/>
                <w:rtl/>
              </w:rPr>
            </w:pPr>
          </w:p>
        </w:tc>
      </w:tr>
      <w:tr w:rsidR="0067459D" w:rsidTr="0067459D">
        <w:trPr>
          <w:trHeight w:val="740"/>
        </w:trPr>
        <w:tc>
          <w:tcPr>
            <w:tcW w:w="3246" w:type="dxa"/>
            <w:hideMark/>
          </w:tcPr>
          <w:p w:rsidR="0067459D" w:rsidRDefault="00237B27">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משיבים</w:t>
                </w:r>
              </w:sdtContent>
            </w:sdt>
          </w:p>
        </w:tc>
        <w:tc>
          <w:tcPr>
            <w:tcW w:w="5734" w:type="dxa"/>
            <w:hideMark/>
          </w:tcPr>
          <w:p w:rsidR="0067459D" w:rsidRDefault="00956119" w:rsidP="00C72855">
            <w:pPr>
              <w:suppressLineNumbers/>
              <w:spacing w:line="360" w:lineRule="auto"/>
              <w:rPr>
                <w:b/>
                <w:bCs/>
                <w:rtl/>
              </w:rPr>
            </w:pPr>
            <w:sdt>
              <w:sdtPr>
                <w:rPr>
                  <w:b/>
                  <w:bCs/>
                  <w:rtl/>
                </w:rPr>
                <w:alias w:val="829"/>
                <w:tag w:val="829"/>
                <w:id w:val="-731926407"/>
                <w:placeholder>
                  <w:docPart w:val="C1370D0C985644A8B90574A0011EAB5A"/>
                </w:placeholder>
                <w:text w:multiLine="1"/>
              </w:sdtPr>
              <w:sdtEndPr/>
              <w:sdtContent>
                <w:r w:rsidR="00237B27">
                  <w:rPr>
                    <w:rFonts w:ascii="David" w:eastAsia="David" w:hAnsi="David"/>
                    <w:b/>
                    <w:bCs/>
                  </w:rPr>
                  <w:t>.1</w:t>
                </w:r>
              </w:sdtContent>
            </w:sdt>
            <w:r w:rsidR="00237B27">
              <w:rPr>
                <w:rFonts w:hint="cs"/>
                <w:b/>
                <w:bCs/>
                <w:rtl/>
              </w:rPr>
              <w:t xml:space="preserve"> </w:t>
            </w:r>
            <w:sdt>
              <w:sdtPr>
                <w:rPr>
                  <w:b/>
                  <w:bCs/>
                  <w:rtl/>
                </w:rPr>
                <w:alias w:val="1266"/>
                <w:tag w:val="1266"/>
                <w:id w:val="1865085449"/>
                <w:placeholder>
                  <w:docPart w:val="16F8642BE8304F09A52CA727E287D1D9"/>
                </w:placeholder>
                <w:text w:multiLine="1"/>
              </w:sdtPr>
              <w:sdtEndPr/>
              <w:sdtContent>
                <w:r w:rsidR="00C72855">
                  <w:rPr>
                    <w:b/>
                    <w:bCs/>
                    <w:rtl/>
                  </w:rPr>
                  <w:t>ש</w:t>
                </w:r>
                <w:r w:rsidR="00C72855">
                  <w:rPr>
                    <w:rFonts w:hint="cs"/>
                    <w:b/>
                    <w:bCs/>
                    <w:rtl/>
                  </w:rPr>
                  <w:t xml:space="preserve">. ק </w:t>
                </w:r>
              </w:sdtContent>
            </w:sdt>
            <w:r w:rsidR="00237B27">
              <w:rPr>
                <w:rFonts w:hint="cs"/>
                <w:b/>
                <w:bCs/>
                <w:rtl/>
              </w:rPr>
              <w:t xml:space="preserve"> </w:t>
            </w:r>
          </w:p>
          <w:p w:rsidR="005D2DA5" w:rsidRDefault="005D2DA5">
            <w:pPr>
              <w:suppressLineNumbers/>
              <w:rPr>
                <w:rFonts w:ascii="David" w:eastAsia="David" w:hAnsi="David"/>
                <w:b/>
                <w:bCs/>
                <w:rtl/>
              </w:rPr>
            </w:pPr>
            <w:r>
              <w:rPr>
                <w:rFonts w:ascii="David" w:eastAsia="David" w:hAnsi="David" w:hint="cs"/>
                <w:b/>
                <w:bCs/>
                <w:rtl/>
              </w:rPr>
              <w:t>ע"י ב"כ עו"ד גדלי סולן</w:t>
            </w:r>
          </w:p>
          <w:p w:rsidR="005D2DA5" w:rsidRDefault="005D2DA5">
            <w:pPr>
              <w:suppressLineNumbers/>
              <w:rPr>
                <w:rFonts w:ascii="David" w:eastAsia="David" w:hAnsi="David"/>
                <w:b/>
                <w:bCs/>
                <w:rtl/>
              </w:rPr>
            </w:pPr>
          </w:p>
          <w:p w:rsidR="0067459D" w:rsidRDefault="00956119" w:rsidP="005D2DA5">
            <w:pPr>
              <w:suppressLineNumbers/>
              <w:spacing w:line="360" w:lineRule="auto"/>
              <w:rPr>
                <w:b/>
                <w:bCs/>
                <w:rtl/>
              </w:rPr>
            </w:pPr>
            <w:sdt>
              <w:sdtPr>
                <w:rPr>
                  <w:b/>
                  <w:bCs/>
                  <w:rtl/>
                </w:rPr>
                <w:alias w:val="829"/>
                <w:tag w:val="829"/>
                <w:id w:val="-1226448017"/>
                <w:placeholder>
                  <w:docPart w:val="C1370D0C985644A8B90574A0011EAB5A"/>
                </w:placeholder>
                <w:text w:multiLine="1"/>
              </w:sdtPr>
              <w:sdtEndPr/>
              <w:sdtContent>
                <w:r w:rsidR="00237B27">
                  <w:rPr>
                    <w:rFonts w:ascii="David" w:eastAsia="David" w:hAnsi="David"/>
                    <w:b/>
                    <w:bCs/>
                  </w:rPr>
                  <w:t>.2</w:t>
                </w:r>
              </w:sdtContent>
            </w:sdt>
            <w:r w:rsidR="00237B27">
              <w:rPr>
                <w:rFonts w:hint="cs"/>
                <w:b/>
                <w:bCs/>
                <w:rtl/>
              </w:rPr>
              <w:t xml:space="preserve"> </w:t>
            </w:r>
            <w:sdt>
              <w:sdtPr>
                <w:rPr>
                  <w:b/>
                  <w:bCs/>
                  <w:rtl/>
                </w:rPr>
                <w:alias w:val="1266"/>
                <w:tag w:val="1266"/>
                <w:id w:val="814986470"/>
                <w:placeholder>
                  <w:docPart w:val="16F8642BE8304F09A52CA727E287D1D9"/>
                </w:placeholder>
                <w:text w:multiLine="1"/>
              </w:sdtPr>
              <w:sdtEndPr/>
              <w:sdtContent>
                <w:r w:rsidR="00237B27">
                  <w:rPr>
                    <w:b/>
                    <w:bCs/>
                    <w:rtl/>
                  </w:rPr>
                  <w:t>האפוטרופוס הכללי מחוז חיפה והצפון</w:t>
                </w:r>
              </w:sdtContent>
            </w:sdt>
            <w:r w:rsidR="00237B27">
              <w:rPr>
                <w:rFonts w:hint="cs"/>
                <w:b/>
                <w:bCs/>
                <w:rtl/>
              </w:rPr>
              <w:t xml:space="preserve"> </w:t>
            </w:r>
          </w:p>
          <w:p w:rsidR="00614B28" w:rsidRDefault="00614B28" w:rsidP="005D2DA5">
            <w:pPr>
              <w:suppressLineNumbers/>
              <w:spacing w:line="360" w:lineRule="auto"/>
              <w:rPr>
                <w:b/>
                <w:bCs/>
                <w:rtl/>
              </w:rPr>
            </w:pPr>
          </w:p>
          <w:p w:rsidR="0067459D" w:rsidRDefault="00956119" w:rsidP="00614B28">
            <w:pPr>
              <w:suppressLineNumbers/>
              <w:rPr>
                <w:rFonts w:ascii="David" w:eastAsia="David" w:hAnsi="David"/>
                <w:b/>
                <w:bCs/>
                <w:rtl/>
              </w:rPr>
            </w:pPr>
          </w:p>
        </w:tc>
      </w:tr>
    </w:tbl>
    <w:p w:rsidR="0067459D" w:rsidRDefault="00614B28" w:rsidP="00C72855">
      <w:pPr>
        <w:jc w:val="both"/>
        <w:rPr>
          <w:rFonts w:ascii="David" w:eastAsia="David" w:hAnsi="David"/>
          <w:rtl/>
        </w:rPr>
      </w:pPr>
      <w:r w:rsidRPr="00614B28">
        <w:rPr>
          <w:rFonts w:ascii="David" w:eastAsia="David" w:hAnsi="David" w:hint="cs"/>
          <w:b/>
          <w:bCs/>
          <w:rtl/>
        </w:rPr>
        <w:t>בעניין עזבון</w:t>
      </w:r>
      <w:r>
        <w:rPr>
          <w:rFonts w:ascii="David" w:eastAsia="David" w:hAnsi="David" w:hint="cs"/>
          <w:rtl/>
        </w:rPr>
        <w:t xml:space="preserve"> </w:t>
      </w:r>
      <w:sdt>
        <w:sdtPr>
          <w:rPr>
            <w:b/>
            <w:bCs/>
            <w:rtl/>
          </w:rPr>
          <w:alias w:val="1266"/>
          <w:tag w:val="1266"/>
          <w:id w:val="185878743"/>
          <w:placeholder>
            <w:docPart w:val="9AF2D2A2C1CD489A8F53456255244BA5"/>
          </w:placeholder>
          <w:text w:multiLine="1"/>
        </w:sdtPr>
        <w:sdtEndPr/>
        <w:sdtContent>
          <w:r>
            <w:rPr>
              <w:rFonts w:hint="cs"/>
              <w:b/>
              <w:bCs/>
              <w:rtl/>
            </w:rPr>
            <w:t xml:space="preserve">המנוחה </w:t>
          </w:r>
          <w:r w:rsidR="00C72855">
            <w:rPr>
              <w:rFonts w:hint="cs"/>
              <w:b/>
              <w:bCs/>
              <w:rtl/>
            </w:rPr>
            <w:t>צ. ק</w:t>
          </w:r>
          <w:r>
            <w:rPr>
              <w:b/>
              <w:bCs/>
              <w:rtl/>
            </w:rPr>
            <w:t xml:space="preserve"> ז"ל</w:t>
          </w:r>
        </w:sdtContent>
      </w:sdt>
      <w:r>
        <w:rPr>
          <w:rFonts w:hint="cs"/>
          <w:b/>
          <w:bCs/>
          <w:rtl/>
        </w:rPr>
        <w:t xml:space="preserve"> </w:t>
      </w:r>
    </w:p>
    <w:p w:rsidR="001434F7" w:rsidRPr="0067459D" w:rsidRDefault="00956119" w:rsidP="0067459D"/>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14B28" w:rsidRDefault="00614B28" w:rsidP="005D2DA5">
            <w:pPr>
              <w:bidi w:val="0"/>
              <w:jc w:val="center"/>
              <w:rPr>
                <w:rFonts w:ascii="Arial" w:hAnsi="Arial"/>
                <w:b/>
                <w:bCs/>
                <w:noProof w:val="0"/>
                <w:sz w:val="28"/>
                <w:szCs w:val="28"/>
                <w:u w:val="single"/>
                <w:rtl/>
              </w:rPr>
            </w:pPr>
          </w:p>
          <w:p w:rsidR="00D44968" w:rsidRPr="00D44968" w:rsidRDefault="003E38C7" w:rsidP="00614B28">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5D2DA5" w:rsidRDefault="005D2DA5" w:rsidP="005D2DA5">
      <w:pPr>
        <w:spacing w:after="120" w:line="360" w:lineRule="auto"/>
        <w:jc w:val="both"/>
        <w:rPr>
          <w:rFonts w:ascii="David" w:hAnsi="David"/>
          <w:b/>
          <w:bCs/>
          <w:rtl/>
        </w:rPr>
      </w:pPr>
      <w:bookmarkStart w:id="0" w:name="NGCSBookmark"/>
      <w:bookmarkEnd w:id="0"/>
    </w:p>
    <w:p w:rsidR="005D2DA5" w:rsidRDefault="005D2DA5" w:rsidP="005D2DA5">
      <w:pPr>
        <w:pStyle w:val="ad"/>
        <w:numPr>
          <w:ilvl w:val="0"/>
          <w:numId w:val="1"/>
        </w:numPr>
        <w:spacing w:after="120" w:line="360" w:lineRule="auto"/>
        <w:contextualSpacing w:val="0"/>
        <w:jc w:val="both"/>
        <w:rPr>
          <w:rFonts w:ascii="David" w:hAnsi="David"/>
        </w:rPr>
      </w:pPr>
      <w:r w:rsidRPr="008F5277">
        <w:rPr>
          <w:rFonts w:ascii="David" w:hAnsi="David" w:hint="cs"/>
          <w:rtl/>
        </w:rPr>
        <w:t>לפנינו ערעור על פסק דינו של בית משפט לענייני משפחה בחיפה (כבוד השופט, סגן הנשיאה, טל פפרני) מיום 22.</w:t>
      </w:r>
      <w:r>
        <w:rPr>
          <w:rFonts w:ascii="David" w:hAnsi="David" w:hint="cs"/>
          <w:rtl/>
        </w:rPr>
        <w:t>0</w:t>
      </w:r>
      <w:r w:rsidRPr="008F5277">
        <w:rPr>
          <w:rFonts w:ascii="David" w:hAnsi="David" w:hint="cs"/>
          <w:rtl/>
        </w:rPr>
        <w:t>1.</w:t>
      </w:r>
      <w:r>
        <w:rPr>
          <w:rFonts w:ascii="David" w:hAnsi="David" w:hint="cs"/>
          <w:rtl/>
        </w:rPr>
        <w:t>20</w:t>
      </w:r>
      <w:r w:rsidRPr="008F5277">
        <w:rPr>
          <w:rFonts w:ascii="David" w:hAnsi="David" w:hint="cs"/>
          <w:rtl/>
        </w:rPr>
        <w:t xml:space="preserve">24 </w:t>
      </w:r>
      <w:r>
        <w:rPr>
          <w:rFonts w:ascii="David" w:hAnsi="David" w:hint="cs"/>
          <w:rtl/>
        </w:rPr>
        <w:t>ב</w:t>
      </w:r>
      <w:r w:rsidRPr="008F5277">
        <w:rPr>
          <w:rFonts w:ascii="David" w:hAnsi="David" w:hint="cs"/>
          <w:rtl/>
        </w:rPr>
        <w:t xml:space="preserve">ת"ע 69090-03-22 ות"ע 69119-03-22 (להלן </w:t>
      </w:r>
      <w:r w:rsidRPr="008F5277">
        <w:rPr>
          <w:rFonts w:ascii="David" w:hAnsi="David" w:hint="cs"/>
          <w:b/>
          <w:bCs/>
          <w:rtl/>
        </w:rPr>
        <w:t>"בית משפט קמא"</w:t>
      </w:r>
      <w:r w:rsidRPr="005D2DA5">
        <w:rPr>
          <w:rFonts w:ascii="David" w:hAnsi="David" w:hint="cs"/>
          <w:rtl/>
        </w:rPr>
        <w:t xml:space="preserve">), </w:t>
      </w:r>
      <w:r w:rsidRPr="008F5277">
        <w:rPr>
          <w:rFonts w:ascii="David" w:hAnsi="David" w:hint="cs"/>
          <w:rtl/>
        </w:rPr>
        <w:t>בגדרו פסק בית משפט קמא כי לא התקיימו תנאי היסוד הנדרשים לצורך קיום צוואת שכיב מרע וכן כי נפלו פגמים רבים ביתר התנאים</w:t>
      </w:r>
      <w:r>
        <w:rPr>
          <w:rFonts w:ascii="David" w:hAnsi="David" w:hint="cs"/>
          <w:rtl/>
        </w:rPr>
        <w:t>,</w:t>
      </w:r>
      <w:r w:rsidRPr="008F5277">
        <w:rPr>
          <w:rFonts w:ascii="David" w:hAnsi="David" w:hint="cs"/>
          <w:rtl/>
        </w:rPr>
        <w:t xml:space="preserve"> כך שלא עלה בידי המערער לעמוד בנטל הנדרש להוכחת טיעוניו וכי התנגדות המשיב, אח המנוחה, למתן צו קיום צוואה, מתקבלת (להלן "</w:t>
      </w:r>
      <w:r w:rsidRPr="008F5277">
        <w:rPr>
          <w:rFonts w:ascii="David" w:hAnsi="David" w:hint="cs"/>
          <w:b/>
          <w:bCs/>
          <w:rtl/>
        </w:rPr>
        <w:t>פסק הדין קמא</w:t>
      </w:r>
      <w:r w:rsidRPr="008F5277">
        <w:rPr>
          <w:rFonts w:ascii="David" w:hAnsi="David" w:hint="cs"/>
          <w:rtl/>
        </w:rPr>
        <w:t>")</w:t>
      </w:r>
      <w:r>
        <w:rPr>
          <w:rFonts w:ascii="David" w:hAnsi="David" w:hint="cs"/>
          <w:rtl/>
        </w:rPr>
        <w:t>.</w:t>
      </w:r>
    </w:p>
    <w:p w:rsidR="005D2DA5" w:rsidRPr="008F5277" w:rsidRDefault="005D2DA5" w:rsidP="005D2DA5">
      <w:pPr>
        <w:pStyle w:val="ad"/>
        <w:spacing w:after="120" w:line="360" w:lineRule="auto"/>
        <w:contextualSpacing w:val="0"/>
        <w:jc w:val="both"/>
        <w:rPr>
          <w:rFonts w:ascii="David" w:hAnsi="David"/>
          <w:rtl/>
        </w:rPr>
      </w:pPr>
    </w:p>
    <w:p w:rsidR="005D2DA5" w:rsidRPr="008C20C5" w:rsidRDefault="005D2DA5" w:rsidP="005D2DA5">
      <w:pPr>
        <w:autoSpaceDE w:val="0"/>
        <w:autoSpaceDN w:val="0"/>
        <w:adjustRightInd w:val="0"/>
        <w:spacing w:after="120" w:line="360" w:lineRule="auto"/>
        <w:ind w:firstLine="720"/>
        <w:jc w:val="both"/>
        <w:rPr>
          <w:rFonts w:ascii="David" w:hAnsi="David"/>
          <w:b/>
          <w:bCs/>
          <w:rtl/>
        </w:rPr>
      </w:pPr>
      <w:r w:rsidRPr="008C20C5">
        <w:rPr>
          <w:rFonts w:ascii="David" w:hAnsi="David" w:hint="cs"/>
          <w:b/>
          <w:bCs/>
          <w:rtl/>
        </w:rPr>
        <w:t xml:space="preserve">פסק הדין קמא </w:t>
      </w:r>
    </w:p>
    <w:p w:rsidR="005D2DA5" w:rsidRPr="00E144FB" w:rsidRDefault="00C72855" w:rsidP="00C72855">
      <w:pPr>
        <w:pStyle w:val="ad"/>
        <w:numPr>
          <w:ilvl w:val="0"/>
          <w:numId w:val="1"/>
        </w:numPr>
        <w:spacing w:after="120" w:line="360" w:lineRule="auto"/>
        <w:contextualSpacing w:val="0"/>
        <w:jc w:val="both"/>
        <w:rPr>
          <w:rFonts w:ascii="David" w:eastAsia="Calibri" w:hAnsi="David"/>
          <w:rtl/>
        </w:rPr>
      </w:pPr>
      <w:r>
        <w:rPr>
          <w:rFonts w:ascii="David" w:hAnsi="David" w:hint="cs"/>
          <w:rtl/>
        </w:rPr>
        <w:t xml:space="preserve">המנוחה צ. ק ז"ל </w:t>
      </w:r>
      <w:r w:rsidR="005D2DA5" w:rsidRPr="00E144FB">
        <w:rPr>
          <w:rFonts w:ascii="David" w:hAnsi="David"/>
          <w:rtl/>
        </w:rPr>
        <w:t xml:space="preserve">נפטרה ביום </w:t>
      </w:r>
      <w:r>
        <w:rPr>
          <w:rFonts w:ascii="David" w:hAnsi="David" w:hint="cs"/>
          <w:rtl/>
        </w:rPr>
        <w:t>00</w:t>
      </w:r>
      <w:r w:rsidR="005D2DA5" w:rsidRPr="00E144FB">
        <w:rPr>
          <w:rFonts w:ascii="David" w:hAnsi="David"/>
          <w:rtl/>
        </w:rPr>
        <w:t>.</w:t>
      </w:r>
      <w:r>
        <w:rPr>
          <w:rFonts w:ascii="David" w:hAnsi="David" w:hint="cs"/>
          <w:rtl/>
        </w:rPr>
        <w:t>00</w:t>
      </w:r>
      <w:r w:rsidR="005D2DA5" w:rsidRPr="00E144FB">
        <w:rPr>
          <w:rFonts w:ascii="David" w:hAnsi="David"/>
          <w:rtl/>
        </w:rPr>
        <w:t>.2022</w:t>
      </w:r>
      <w:r w:rsidR="005D2DA5" w:rsidRPr="00E144FB">
        <w:rPr>
          <w:rFonts w:ascii="David" w:hAnsi="David" w:hint="cs"/>
          <w:rtl/>
        </w:rPr>
        <w:t xml:space="preserve">. המנוחה הייתה בנתק מלא או חלקי עם בני משפחתה לאורך כעשור, ואילו המערער היה בקשר קרוב למנוחה עד יומה האחרון (פסקאות 3 ו-70 לפסק הדין קמא). המערער טען כי </w:t>
      </w:r>
      <w:r w:rsidR="005D2DA5" w:rsidRPr="00E144FB">
        <w:rPr>
          <w:rFonts w:ascii="David" w:eastAsia="Calibri" w:hAnsi="David" w:hint="cs"/>
          <w:rtl/>
        </w:rPr>
        <w:t>ה</w:t>
      </w:r>
      <w:r w:rsidR="005D2DA5" w:rsidRPr="00E144FB">
        <w:rPr>
          <w:rFonts w:ascii="David" w:eastAsia="Calibri" w:hAnsi="David"/>
          <w:rtl/>
        </w:rPr>
        <w:t xml:space="preserve">צוואה מיום 24.01.2022 </w:t>
      </w:r>
      <w:r w:rsidR="005D2DA5" w:rsidRPr="00E144FB">
        <w:rPr>
          <w:rFonts w:ascii="David" w:eastAsia="Calibri" w:hAnsi="David" w:hint="cs"/>
          <w:rtl/>
        </w:rPr>
        <w:t>היא "חידוש" צוואה שקדמה לה</w:t>
      </w:r>
      <w:r w:rsidR="005D2DA5" w:rsidRPr="00E144FB">
        <w:rPr>
          <w:rFonts w:ascii="David" w:eastAsia="Calibri" w:hAnsi="David"/>
          <w:rtl/>
        </w:rPr>
        <w:t xml:space="preserve"> מיום 17.12.2021</w:t>
      </w:r>
      <w:r w:rsidR="005D2DA5" w:rsidRPr="00E144FB">
        <w:rPr>
          <w:rFonts w:ascii="David" w:hAnsi="David" w:hint="cs"/>
          <w:rtl/>
        </w:rPr>
        <w:t xml:space="preserve"> ורצונו לקיים צוואה זו. בית משפט קמא העיר כי קיים ספק רב אם קיים מושג </w:t>
      </w:r>
      <w:r w:rsidR="005D2DA5" w:rsidRPr="00E144FB">
        <w:rPr>
          <w:rFonts w:ascii="David" w:eastAsia="Calibri" w:hAnsi="David"/>
          <w:b/>
          <w:bCs/>
          <w:rtl/>
        </w:rPr>
        <w:t>"</w:t>
      </w:r>
      <w:r w:rsidR="005D2DA5" w:rsidRPr="00E144FB">
        <w:rPr>
          <w:rFonts w:ascii="David" w:eastAsia="Calibri" w:hAnsi="David"/>
          <w:rtl/>
        </w:rPr>
        <w:t xml:space="preserve">חידוש" צוואת שכיב מרע, ואם ניתן כלל להורות על חידוש צוואה או שיש לערוך צוואה חדשה. מכל מקום, </w:t>
      </w:r>
      <w:r w:rsidR="005D2DA5" w:rsidRPr="00E144FB">
        <w:rPr>
          <w:rFonts w:ascii="David" w:eastAsia="Calibri" w:hAnsi="David" w:hint="cs"/>
          <w:rtl/>
        </w:rPr>
        <w:t xml:space="preserve">בית משפט קמא בחן את התנאים בשתי החלופות </w:t>
      </w:r>
      <w:r w:rsidR="005D2DA5" w:rsidRPr="00E144FB">
        <w:rPr>
          <w:rFonts w:ascii="David" w:eastAsia="Calibri" w:hAnsi="David"/>
          <w:rtl/>
        </w:rPr>
        <w:t>(פסקה</w:t>
      </w:r>
      <w:r w:rsidR="005D2DA5" w:rsidRPr="00E144FB">
        <w:rPr>
          <w:rFonts w:ascii="David" w:eastAsia="Calibri" w:hAnsi="David" w:hint="cs"/>
          <w:rtl/>
        </w:rPr>
        <w:t xml:space="preserve"> 14 לפסק הדין קמא).</w:t>
      </w:r>
    </w:p>
    <w:p w:rsidR="005D2DA5" w:rsidRPr="00E144FB" w:rsidRDefault="005D2DA5" w:rsidP="00922936">
      <w:pPr>
        <w:pStyle w:val="ad"/>
        <w:numPr>
          <w:ilvl w:val="0"/>
          <w:numId w:val="1"/>
        </w:numPr>
        <w:spacing w:after="120" w:line="360" w:lineRule="auto"/>
        <w:contextualSpacing w:val="0"/>
        <w:jc w:val="both"/>
        <w:rPr>
          <w:rFonts w:ascii="David" w:eastAsia="Calibri" w:hAnsi="David"/>
          <w:rtl/>
        </w:rPr>
      </w:pPr>
      <w:r w:rsidRPr="00E144FB">
        <w:rPr>
          <w:rFonts w:ascii="David" w:eastAsia="Calibri" w:hAnsi="David" w:hint="cs"/>
          <w:rtl/>
        </w:rPr>
        <w:lastRenderedPageBreak/>
        <w:t>בית משפט קמא ניתח המסגרת המשפטית, סעיפים 23 ו־25 לחוק הירושה, התשכ"ה-1965 (להלן: "</w:t>
      </w:r>
      <w:r w:rsidRPr="00E144FB">
        <w:rPr>
          <w:rFonts w:ascii="David" w:eastAsia="Calibri" w:hAnsi="David" w:hint="cs"/>
          <w:b/>
          <w:bCs/>
          <w:rtl/>
        </w:rPr>
        <w:t>חוק הירושה</w:t>
      </w:r>
      <w:r w:rsidRPr="00E144FB">
        <w:rPr>
          <w:rFonts w:ascii="David" w:eastAsia="Calibri" w:hAnsi="David" w:hint="cs"/>
          <w:rtl/>
        </w:rPr>
        <w:t>"), וקבע כי לא התקיימו תנאי היסוד הנדרשים לצורך קיום צוואת שכיב מרע, וכי נפלו פגמים רבים גם ביתר התנאים, מכאן שלא עלה בידי המערער לעמוד בנטל המוטל עליו.</w:t>
      </w:r>
    </w:p>
    <w:p w:rsidR="005D2DA5" w:rsidRPr="00E144FB" w:rsidRDefault="005D2DA5" w:rsidP="004D763C">
      <w:pPr>
        <w:pStyle w:val="ad"/>
        <w:numPr>
          <w:ilvl w:val="0"/>
          <w:numId w:val="1"/>
        </w:numPr>
        <w:spacing w:after="120" w:line="360" w:lineRule="auto"/>
        <w:contextualSpacing w:val="0"/>
        <w:jc w:val="both"/>
        <w:rPr>
          <w:rFonts w:ascii="David" w:eastAsia="Calibri" w:hAnsi="David"/>
        </w:rPr>
      </w:pPr>
      <w:r w:rsidRPr="00E144FB">
        <w:rPr>
          <w:rFonts w:ascii="David" w:eastAsia="Calibri" w:hAnsi="David" w:hint="cs"/>
          <w:rtl/>
        </w:rPr>
        <w:t xml:space="preserve">באשר </w:t>
      </w:r>
      <w:r w:rsidRPr="00E144FB">
        <w:rPr>
          <w:rFonts w:ascii="David" w:eastAsia="Calibri" w:hAnsi="David" w:hint="cs"/>
          <w:u w:val="single"/>
          <w:rtl/>
        </w:rPr>
        <w:t>לתנאי הראשון</w:t>
      </w:r>
      <w:r w:rsidRPr="00E144FB">
        <w:rPr>
          <w:rFonts w:ascii="David" w:eastAsia="Calibri" w:hAnsi="David" w:hint="cs"/>
          <w:rtl/>
        </w:rPr>
        <w:t xml:space="preserve"> "</w:t>
      </w:r>
      <w:r w:rsidRPr="00E144FB">
        <w:rPr>
          <w:rFonts w:ascii="David" w:eastAsia="Calibri" w:hAnsi="David" w:hint="cs"/>
          <w:b/>
          <w:bCs/>
          <w:rtl/>
        </w:rPr>
        <w:t>שכיב מרע וכן מי שרואה את עצמו בנסיבות המצדיקות זאת, מול פני המוות</w:t>
      </w:r>
      <w:r w:rsidRPr="00E144FB">
        <w:rPr>
          <w:rFonts w:ascii="David" w:eastAsia="Calibri" w:hAnsi="David" w:hint="cs"/>
          <w:rtl/>
        </w:rPr>
        <w:t xml:space="preserve">" - קבע בית משפט קמא כי מצבה הרפואי של המנוחה, בכל המועדים הרלוונטיים, אכן היה מורכב. המנוחה </w:t>
      </w:r>
      <w:r w:rsidRPr="00E144FB">
        <w:rPr>
          <w:rFonts w:ascii="David" w:eastAsia="Calibri" w:hAnsi="David"/>
          <w:rtl/>
        </w:rPr>
        <w:t xml:space="preserve">סבלה ממחלה קשה עוד טרם אשפוזה האחרון בתקופת נגיף הקורונה. עם זאת, ממארג הראיות </w:t>
      </w:r>
      <w:r w:rsidRPr="00E144FB">
        <w:rPr>
          <w:rFonts w:ascii="David" w:eastAsia="Calibri" w:hAnsi="David" w:hint="cs"/>
          <w:rtl/>
        </w:rPr>
        <w:t>התרשם בית משפט קמא כי לא</w:t>
      </w:r>
      <w:r w:rsidRPr="00E144FB">
        <w:rPr>
          <w:rFonts w:ascii="David" w:eastAsia="Calibri" w:hAnsi="David"/>
          <w:rtl/>
        </w:rPr>
        <w:t xml:space="preserve"> ניתן לקבוע </w:t>
      </w:r>
      <w:r w:rsidRPr="00E144FB">
        <w:rPr>
          <w:rFonts w:ascii="David" w:eastAsia="Calibri" w:hAnsi="David" w:hint="cs"/>
          <w:rtl/>
        </w:rPr>
        <w:t>ש</w:t>
      </w:r>
      <w:r w:rsidRPr="00E144FB">
        <w:rPr>
          <w:rFonts w:ascii="David" w:eastAsia="Calibri" w:hAnsi="David"/>
          <w:rtl/>
        </w:rPr>
        <w:t>המנוחה הייתה במצב של "שכיב מרע" או שראתה עצמה מול פני המוות</w:t>
      </w:r>
      <w:r w:rsidRPr="00E144FB">
        <w:rPr>
          <w:rFonts w:ascii="David" w:eastAsia="Calibri" w:hAnsi="David" w:hint="cs"/>
          <w:rtl/>
        </w:rPr>
        <w:t xml:space="preserve">. </w:t>
      </w:r>
      <w:r w:rsidRPr="00E144FB">
        <w:rPr>
          <w:rFonts w:ascii="David" w:eastAsia="Calibri" w:hAnsi="David"/>
          <w:rtl/>
        </w:rPr>
        <w:t>המנוחה ידעה מהי צוואה ועל האפשרות לעריכת</w:t>
      </w:r>
      <w:r w:rsidRPr="00E144FB">
        <w:rPr>
          <w:rFonts w:ascii="David" w:eastAsia="Calibri" w:hAnsi="David" w:hint="cs"/>
          <w:rtl/>
        </w:rPr>
        <w:t>ה,</w:t>
      </w:r>
      <w:r w:rsidRPr="00E144FB">
        <w:rPr>
          <w:rFonts w:ascii="David" w:eastAsia="Calibri" w:hAnsi="David"/>
          <w:rtl/>
        </w:rPr>
        <w:t xml:space="preserve"> ובכל זאת, על פני פרק זמן ממושך ולמרות הזדמנויות רבות, בחרה שלא לערוך צוואה</w:t>
      </w:r>
      <w:r w:rsidRPr="00E144FB">
        <w:rPr>
          <w:rFonts w:ascii="David" w:eastAsia="Calibri" w:hAnsi="David" w:hint="cs"/>
          <w:rtl/>
        </w:rPr>
        <w:t xml:space="preserve"> </w:t>
      </w:r>
      <w:r w:rsidRPr="00E144FB">
        <w:rPr>
          <w:rFonts w:ascii="David" w:eastAsia="Calibri" w:hAnsi="David"/>
          <w:rtl/>
        </w:rPr>
        <w:t>(פסקה 27</w:t>
      </w:r>
      <w:r w:rsidRPr="00E144FB">
        <w:rPr>
          <w:rFonts w:ascii="David" w:eastAsia="Calibri" w:hAnsi="David" w:hint="cs"/>
          <w:rtl/>
        </w:rPr>
        <w:t xml:space="preserve"> לפסק הדין קמא</w:t>
      </w:r>
      <w:r w:rsidRPr="00E144FB">
        <w:rPr>
          <w:rFonts w:ascii="David" w:eastAsia="Calibri" w:hAnsi="David"/>
          <w:rtl/>
        </w:rPr>
        <w:t>)</w:t>
      </w:r>
      <w:r w:rsidRPr="00E144FB">
        <w:rPr>
          <w:rFonts w:ascii="David" w:eastAsia="Calibri" w:hAnsi="David" w:hint="cs"/>
          <w:rtl/>
        </w:rPr>
        <w:t xml:space="preserve">. חיזוק למסקנתו זו של בית משפט קמא, מתקבל מניתוח השיחות בין המערער למנוחה מיום 19.04.2021 ומיום 03.09.2021 (פסקאות 28-31 לפסק הדין קמא), מניתוח השיחה בין המנוחה לבין ד"ר גרינפלד מיום 10.10.2021, באשר לאפשרויות מתן טיפול להארכת חיים (פסקה 32 לפסק הדין קמא), וכן מתמונות, מסרונים, ניהול הליך חקירת נסיבות המוות, תיעודים רפואיים ומעקב סוציאלי (פסקאות 34-40 לפסק הדין קמא). בית משפט </w:t>
      </w:r>
      <w:r w:rsidRPr="00E144FB">
        <w:rPr>
          <w:rFonts w:ascii="David" w:eastAsia="Calibri" w:hAnsi="David"/>
          <w:rtl/>
        </w:rPr>
        <w:t xml:space="preserve">קמא לא ייחס </w:t>
      </w:r>
      <w:r w:rsidRPr="00E144FB">
        <w:rPr>
          <w:rFonts w:ascii="David" w:eastAsia="Calibri" w:hAnsi="David" w:hint="cs"/>
          <w:rtl/>
        </w:rPr>
        <w:t xml:space="preserve">משקל משמעותי לחוות דעת המומחית מטעם המערער, קבע כי </w:t>
      </w:r>
      <w:r w:rsidRPr="00E144FB">
        <w:rPr>
          <w:rFonts w:ascii="David" w:eastAsia="Calibri" w:hAnsi="David"/>
          <w:rtl/>
        </w:rPr>
        <w:t xml:space="preserve">אין בעדות </w:t>
      </w:r>
      <w:r w:rsidRPr="00E144FB">
        <w:rPr>
          <w:rFonts w:ascii="David" w:eastAsia="Calibri" w:hAnsi="David" w:hint="cs"/>
          <w:rtl/>
        </w:rPr>
        <w:t xml:space="preserve">המומחית </w:t>
      </w:r>
      <w:r w:rsidRPr="00E144FB">
        <w:rPr>
          <w:rFonts w:ascii="David" w:eastAsia="Calibri" w:hAnsi="David"/>
          <w:rtl/>
        </w:rPr>
        <w:t xml:space="preserve">כדי לחזק </w:t>
      </w:r>
      <w:r w:rsidRPr="00E144FB">
        <w:rPr>
          <w:rFonts w:ascii="David" w:eastAsia="Calibri" w:hAnsi="David" w:hint="cs"/>
          <w:rtl/>
        </w:rPr>
        <w:t>את הטענה ש</w:t>
      </w:r>
      <w:r w:rsidRPr="00E144FB">
        <w:rPr>
          <w:rFonts w:ascii="David" w:eastAsia="Calibri" w:hAnsi="David"/>
          <w:rtl/>
        </w:rPr>
        <w:t xml:space="preserve">המנוחה הרגישה שהיא עומדת מול פני המוות </w:t>
      </w:r>
      <w:r w:rsidRPr="00E144FB">
        <w:rPr>
          <w:rFonts w:ascii="David" w:eastAsia="Calibri" w:hAnsi="David" w:hint="cs"/>
          <w:rtl/>
        </w:rPr>
        <w:t xml:space="preserve">כשערכה את </w:t>
      </w:r>
      <w:r w:rsidRPr="00E144FB">
        <w:rPr>
          <w:rFonts w:ascii="David" w:eastAsia="Calibri" w:hAnsi="David"/>
          <w:rtl/>
        </w:rPr>
        <w:t>הצוואות</w:t>
      </w:r>
      <w:r w:rsidRPr="00E144FB">
        <w:rPr>
          <w:rFonts w:ascii="David" w:eastAsia="Calibri" w:hAnsi="David" w:hint="cs"/>
          <w:rtl/>
        </w:rPr>
        <w:t xml:space="preserve"> לכאורה, מדובר</w:t>
      </w:r>
      <w:r w:rsidRPr="00E144FB">
        <w:rPr>
          <w:rFonts w:ascii="David" w:eastAsia="Calibri" w:hAnsi="David"/>
          <w:rtl/>
        </w:rPr>
        <w:t xml:space="preserve"> בהשערות כלליות לכל אדם שסובל </w:t>
      </w:r>
      <w:r w:rsidRPr="00E144FB">
        <w:rPr>
          <w:rFonts w:ascii="David" w:eastAsia="Calibri" w:hAnsi="David" w:hint="cs"/>
          <w:rtl/>
        </w:rPr>
        <w:t xml:space="preserve">כפי שסבלה </w:t>
      </w:r>
      <w:r w:rsidRPr="00E144FB">
        <w:rPr>
          <w:rFonts w:ascii="David" w:eastAsia="Calibri" w:hAnsi="David"/>
          <w:rtl/>
        </w:rPr>
        <w:t>המנוחה</w:t>
      </w:r>
      <w:r w:rsidRPr="00E144FB">
        <w:rPr>
          <w:rFonts w:ascii="David" w:eastAsia="Calibri" w:hAnsi="David" w:hint="cs"/>
          <w:rtl/>
        </w:rPr>
        <w:t xml:space="preserve"> וכי</w:t>
      </w:r>
      <w:r w:rsidRPr="00E144FB">
        <w:rPr>
          <w:rFonts w:ascii="David" w:eastAsia="Calibri" w:hAnsi="David"/>
          <w:rtl/>
        </w:rPr>
        <w:t xml:space="preserve"> "לא ניתן ללמוד ממנה על מצב המנוחה הספציפית ומה הרגישה ביחס ליומה האחרון"</w:t>
      </w:r>
      <w:r w:rsidRPr="00E144FB">
        <w:rPr>
          <w:rFonts w:ascii="David" w:eastAsia="Calibri" w:hAnsi="David" w:hint="cs"/>
          <w:rtl/>
        </w:rPr>
        <w:t xml:space="preserve"> (פסקאות 41-44 לפסק הדין קמא).</w:t>
      </w:r>
    </w:p>
    <w:p w:rsidR="005D2DA5" w:rsidRPr="00E144FB" w:rsidRDefault="005D2DA5" w:rsidP="00264C59">
      <w:pPr>
        <w:pStyle w:val="ad"/>
        <w:numPr>
          <w:ilvl w:val="0"/>
          <w:numId w:val="1"/>
        </w:numPr>
        <w:spacing w:after="120" w:line="360" w:lineRule="auto"/>
        <w:contextualSpacing w:val="0"/>
        <w:jc w:val="both"/>
        <w:rPr>
          <w:rFonts w:ascii="David" w:eastAsia="Calibri" w:hAnsi="David"/>
        </w:rPr>
      </w:pPr>
      <w:r w:rsidRPr="00E144FB">
        <w:rPr>
          <w:rFonts w:ascii="David" w:eastAsia="Calibri" w:hAnsi="David" w:hint="cs"/>
          <w:rtl/>
        </w:rPr>
        <w:t xml:space="preserve">בית משפט קמא סיכם כי מתוך החומר הרפואי וביחס לתנאי הראשון </w:t>
      </w:r>
      <w:r w:rsidRPr="00E144FB">
        <w:rPr>
          <w:rFonts w:ascii="David" w:eastAsia="Calibri" w:hAnsi="David"/>
          <w:rtl/>
          <w:lang w:eastAsia="he-IL"/>
        </w:rPr>
        <w:t xml:space="preserve">לא ניתן ללמוד כי חלה </w:t>
      </w:r>
      <w:r w:rsidRPr="00E144FB">
        <w:rPr>
          <w:rFonts w:ascii="David" w:eastAsia="Calibri" w:hAnsi="David"/>
          <w:b/>
          <w:bCs/>
          <w:rtl/>
          <w:lang w:eastAsia="he-IL"/>
        </w:rPr>
        <w:t>החמרה משמעותית</w:t>
      </w:r>
      <w:r w:rsidRPr="00E144FB">
        <w:rPr>
          <w:rFonts w:ascii="David" w:eastAsia="Calibri" w:hAnsi="David"/>
          <w:rtl/>
          <w:lang w:eastAsia="he-IL"/>
        </w:rPr>
        <w:t xml:space="preserve"> במצבה של המנוחה סמוך למועדים הנטענים.</w:t>
      </w:r>
      <w:r w:rsidRPr="00E144FB">
        <w:rPr>
          <w:rFonts w:ascii="David" w:eastAsia="Calibri" w:hAnsi="David"/>
          <w:rtl/>
        </w:rPr>
        <w:t xml:space="preserve"> לא הוצג כי המנוחה מדברת אל הצוות הרפואי /</w:t>
      </w:r>
      <w:r w:rsidRPr="00E144FB">
        <w:rPr>
          <w:rFonts w:ascii="David" w:eastAsia="Calibri" w:hAnsi="David" w:hint="cs"/>
          <w:rtl/>
        </w:rPr>
        <w:t xml:space="preserve"> </w:t>
      </w:r>
      <w:r w:rsidRPr="00E144FB">
        <w:rPr>
          <w:rFonts w:ascii="David" w:eastAsia="Calibri" w:hAnsi="David"/>
          <w:rtl/>
        </w:rPr>
        <w:t>סוציאלי וטוענת כי היא קורסת או כי נותרו לה ימים בודדים לחיות. דרישותיה התאפיינו בבקשות ודרישות, העדפות אשפוז מסוג אחד על פני אחר</w:t>
      </w:r>
      <w:r w:rsidRPr="00E144FB">
        <w:rPr>
          <w:rFonts w:ascii="David" w:eastAsia="Calibri" w:hAnsi="David" w:hint="cs"/>
          <w:b/>
          <w:bCs/>
          <w:rtl/>
        </w:rPr>
        <w:t xml:space="preserve"> </w:t>
      </w:r>
      <w:r w:rsidRPr="00E144FB">
        <w:rPr>
          <w:rFonts w:ascii="David" w:eastAsia="Calibri" w:hAnsi="David" w:hint="cs"/>
          <w:rtl/>
        </w:rPr>
        <w:t>ו</w:t>
      </w:r>
      <w:r w:rsidRPr="00E144FB">
        <w:rPr>
          <w:rFonts w:ascii="David" w:eastAsia="Calibri" w:hAnsi="David"/>
          <w:rtl/>
        </w:rPr>
        <w:t>כל אלו צופים</w:t>
      </w:r>
      <w:r w:rsidRPr="00E144FB">
        <w:rPr>
          <w:rFonts w:ascii="David" w:eastAsia="Calibri" w:hAnsi="David" w:hint="cs"/>
          <w:rtl/>
        </w:rPr>
        <w:t xml:space="preserve">, להתרשמות בית משפט קמא, </w:t>
      </w:r>
      <w:r w:rsidRPr="00E144FB">
        <w:rPr>
          <w:rFonts w:ascii="David" w:eastAsia="Calibri" w:hAnsi="David"/>
          <w:rtl/>
        </w:rPr>
        <w:t xml:space="preserve">פני עתיד. </w:t>
      </w:r>
      <w:r w:rsidRPr="00E144FB">
        <w:rPr>
          <w:rFonts w:ascii="David" w:eastAsia="Calibri" w:hAnsi="David" w:hint="cs"/>
          <w:rtl/>
        </w:rPr>
        <w:t xml:space="preserve">היינו, </w:t>
      </w:r>
      <w:r w:rsidRPr="00E144FB">
        <w:rPr>
          <w:rFonts w:ascii="David" w:eastAsia="Calibri" w:hAnsi="David"/>
          <w:rtl/>
        </w:rPr>
        <w:t xml:space="preserve">חרף מצבה הרפואי לא הוכח שהמנוחה חשה כי היא מול פני המוות ביומה האחרון. </w:t>
      </w:r>
      <w:r w:rsidRPr="00E144FB">
        <w:rPr>
          <w:rFonts w:ascii="David" w:eastAsia="Calibri" w:hAnsi="David" w:hint="cs"/>
          <w:rtl/>
        </w:rPr>
        <w:t>"</w:t>
      </w:r>
      <w:r w:rsidRPr="00E144FB">
        <w:rPr>
          <w:rFonts w:ascii="David" w:eastAsia="Calibri" w:hAnsi="David"/>
          <w:b/>
          <w:bCs/>
          <w:rtl/>
        </w:rPr>
        <w:t>מהחומר לפני עולה כי המנוחה ידעה מהי צוואה, ובכל זאת בחרה של לערוך צוואה, וזאת למרות מחלתה, אשר נמשכה זמן רב, מספר שנים</w:t>
      </w:r>
      <w:r w:rsidRPr="00E144FB">
        <w:rPr>
          <w:rFonts w:ascii="David" w:eastAsia="Calibri" w:hAnsi="David"/>
          <w:rtl/>
        </w:rPr>
        <w:t>." (פסקה 45</w:t>
      </w:r>
      <w:r w:rsidRPr="00E144FB">
        <w:rPr>
          <w:rFonts w:ascii="David" w:eastAsia="Calibri" w:hAnsi="David" w:hint="cs"/>
          <w:rtl/>
        </w:rPr>
        <w:t xml:space="preserve"> לפסק הדין קמא</w:t>
      </w:r>
      <w:r w:rsidRPr="00E144FB">
        <w:rPr>
          <w:rFonts w:ascii="David" w:eastAsia="Calibri" w:hAnsi="David"/>
          <w:rtl/>
        </w:rPr>
        <w:t>)</w:t>
      </w:r>
      <w:r w:rsidRPr="00E144FB">
        <w:rPr>
          <w:rFonts w:ascii="David" w:eastAsia="Calibri" w:hAnsi="David" w:hint="cs"/>
          <w:rtl/>
        </w:rPr>
        <w:t>.</w:t>
      </w:r>
    </w:p>
    <w:p w:rsidR="005D2DA5" w:rsidRPr="00E144FB" w:rsidRDefault="005D2DA5" w:rsidP="00657BEC">
      <w:pPr>
        <w:pStyle w:val="ad"/>
        <w:numPr>
          <w:ilvl w:val="0"/>
          <w:numId w:val="1"/>
        </w:numPr>
        <w:spacing w:after="120" w:line="360" w:lineRule="auto"/>
        <w:contextualSpacing w:val="0"/>
        <w:jc w:val="both"/>
        <w:rPr>
          <w:rFonts w:ascii="David" w:eastAsia="Calibri" w:hAnsi="David"/>
          <w:rtl/>
        </w:rPr>
      </w:pPr>
      <w:r w:rsidRPr="00E144FB">
        <w:rPr>
          <w:rFonts w:ascii="David" w:eastAsia="Calibri" w:hAnsi="David" w:hint="cs"/>
          <w:rtl/>
        </w:rPr>
        <w:t xml:space="preserve">באשר </w:t>
      </w:r>
      <w:r w:rsidRPr="00E144FB">
        <w:rPr>
          <w:rFonts w:ascii="David" w:eastAsia="Calibri" w:hAnsi="David" w:hint="cs"/>
          <w:u w:val="single"/>
          <w:rtl/>
        </w:rPr>
        <w:t>לתנאי השני</w:t>
      </w:r>
      <w:r w:rsidRPr="00E144FB">
        <w:rPr>
          <w:rFonts w:ascii="David" w:eastAsia="Calibri" w:hAnsi="David" w:hint="cs"/>
          <w:rtl/>
        </w:rPr>
        <w:t>,</w:t>
      </w:r>
      <w:r w:rsidRPr="00E144FB">
        <w:rPr>
          <w:rFonts w:ascii="David" w:eastAsia="Calibri" w:hAnsi="David"/>
          <w:rtl/>
        </w:rPr>
        <w:t xml:space="preserve"> </w:t>
      </w:r>
      <w:r w:rsidRPr="00E144FB">
        <w:rPr>
          <w:rFonts w:ascii="David" w:eastAsia="Calibri" w:hAnsi="David"/>
          <w:b/>
          <w:bCs/>
          <w:rtl/>
        </w:rPr>
        <w:t>הציווי בעל פה יהיה בפני שני עדים</w:t>
      </w:r>
      <w:r w:rsidRPr="00E144FB">
        <w:rPr>
          <w:rFonts w:ascii="David" w:eastAsia="Calibri" w:hAnsi="David" w:hint="cs"/>
          <w:rtl/>
        </w:rPr>
        <w:t xml:space="preserve"> –</w:t>
      </w:r>
      <w:r w:rsidRPr="00E144FB">
        <w:rPr>
          <w:rFonts w:ascii="David" w:eastAsia="Calibri" w:hAnsi="David" w:hint="cs"/>
          <w:b/>
          <w:bCs/>
          <w:rtl/>
        </w:rPr>
        <w:t xml:space="preserve"> </w:t>
      </w:r>
      <w:r w:rsidR="005D14AE">
        <w:rPr>
          <w:rFonts w:ascii="David" w:eastAsia="Calibri" w:hAnsi="David"/>
          <w:rtl/>
        </w:rPr>
        <w:t>העדה גב' ר</w:t>
      </w:r>
      <w:r w:rsidR="005D14AE">
        <w:rPr>
          <w:rFonts w:ascii="David" w:eastAsia="Calibri" w:hAnsi="David" w:hint="cs"/>
          <w:rtl/>
        </w:rPr>
        <w:t>.</w:t>
      </w:r>
      <w:r w:rsidRPr="00E144FB">
        <w:rPr>
          <w:rFonts w:ascii="David" w:eastAsia="Calibri" w:hAnsi="David"/>
          <w:rtl/>
        </w:rPr>
        <w:t xml:space="preserve"> </w:t>
      </w:r>
      <w:r w:rsidR="005D14AE">
        <w:rPr>
          <w:rFonts w:ascii="David" w:eastAsia="Calibri" w:hAnsi="David" w:hint="cs"/>
          <w:rtl/>
        </w:rPr>
        <w:t>ש.</w:t>
      </w:r>
      <w:r w:rsidRPr="00E144FB">
        <w:rPr>
          <w:rFonts w:ascii="David" w:eastAsia="Calibri" w:hAnsi="David" w:hint="cs"/>
          <w:rtl/>
        </w:rPr>
        <w:t xml:space="preserve"> </w:t>
      </w:r>
      <w:r w:rsidRPr="00E144FB">
        <w:rPr>
          <w:rFonts w:ascii="David" w:eastAsia="Calibri" w:hAnsi="David"/>
          <w:rtl/>
        </w:rPr>
        <w:t>העידה כי שמעה את דברי המנוחה בטלפון,</w:t>
      </w:r>
      <w:r w:rsidRPr="00E144FB">
        <w:rPr>
          <w:rFonts w:ascii="David" w:eastAsia="Calibri" w:hAnsi="David" w:hint="cs"/>
          <w:rtl/>
        </w:rPr>
        <w:t xml:space="preserve"> בית משפט קמא קובע</w:t>
      </w:r>
      <w:r w:rsidRPr="00E144FB">
        <w:rPr>
          <w:rFonts w:ascii="David" w:eastAsia="Calibri" w:hAnsi="David"/>
          <w:rtl/>
        </w:rPr>
        <w:t xml:space="preserve"> </w:t>
      </w:r>
      <w:r w:rsidRPr="00E144FB">
        <w:rPr>
          <w:rFonts w:ascii="David" w:eastAsia="Calibri" w:hAnsi="David" w:hint="cs"/>
          <w:rtl/>
        </w:rPr>
        <w:t xml:space="preserve">כי </w:t>
      </w:r>
      <w:r w:rsidRPr="00E144FB">
        <w:rPr>
          <w:rFonts w:ascii="David" w:eastAsia="Calibri" w:hAnsi="David"/>
          <w:rtl/>
        </w:rPr>
        <w:t xml:space="preserve">גרסת </w:t>
      </w:r>
      <w:r w:rsidRPr="00E144FB">
        <w:rPr>
          <w:rFonts w:ascii="David" w:eastAsia="Calibri" w:hAnsi="David" w:hint="cs"/>
          <w:rtl/>
        </w:rPr>
        <w:t>המערער</w:t>
      </w:r>
      <w:r w:rsidRPr="00E144FB">
        <w:rPr>
          <w:rFonts w:ascii="David" w:eastAsia="Calibri" w:hAnsi="David"/>
          <w:rtl/>
        </w:rPr>
        <w:t xml:space="preserve"> ביחס להוראות משרד הבריאות או בית החולים, הופרכה בעדות גב' גרוס, שהכחישה בחקירתה כי מנעו מאנשים לפגוש את יקיריהם בפרט אלו הנוטים לסיים את חייהם</w:t>
      </w:r>
      <w:r w:rsidRPr="00E144FB">
        <w:rPr>
          <w:rFonts w:ascii="David" w:eastAsia="Calibri" w:hAnsi="David" w:hint="cs"/>
          <w:rtl/>
        </w:rPr>
        <w:t xml:space="preserve"> </w:t>
      </w:r>
      <w:r w:rsidRPr="00E144FB">
        <w:rPr>
          <w:rFonts w:ascii="David" w:eastAsia="Calibri" w:hAnsi="David"/>
          <w:rtl/>
        </w:rPr>
        <w:t xml:space="preserve"> </w:t>
      </w:r>
      <w:r w:rsidRPr="00E144FB">
        <w:rPr>
          <w:rFonts w:ascii="David" w:eastAsia="Calibri" w:hAnsi="David" w:hint="cs"/>
          <w:rtl/>
        </w:rPr>
        <w:t>(פסקה 49 לפסק הדין קמא).</w:t>
      </w:r>
    </w:p>
    <w:p w:rsidR="005D2DA5" w:rsidRPr="00E144FB" w:rsidRDefault="005D2DA5" w:rsidP="005D14AE">
      <w:pPr>
        <w:pStyle w:val="ad"/>
        <w:numPr>
          <w:ilvl w:val="0"/>
          <w:numId w:val="1"/>
        </w:numPr>
        <w:spacing w:after="120" w:line="360" w:lineRule="auto"/>
        <w:contextualSpacing w:val="0"/>
        <w:jc w:val="both"/>
        <w:rPr>
          <w:rFonts w:ascii="David" w:eastAsia="Calibri" w:hAnsi="David"/>
          <w:b/>
          <w:bCs/>
          <w:u w:val="single"/>
          <w:rtl/>
        </w:rPr>
      </w:pPr>
      <w:r w:rsidRPr="00E144FB">
        <w:rPr>
          <w:rFonts w:ascii="David" w:eastAsia="Calibri" w:hAnsi="David" w:hint="cs"/>
          <w:rtl/>
        </w:rPr>
        <w:t xml:space="preserve">באשר </w:t>
      </w:r>
      <w:r w:rsidRPr="00E144FB">
        <w:rPr>
          <w:rFonts w:ascii="David" w:eastAsia="Calibri" w:hAnsi="David" w:hint="cs"/>
          <w:u w:val="single"/>
          <w:rtl/>
        </w:rPr>
        <w:t>לתנאי השלישי</w:t>
      </w:r>
      <w:r w:rsidRPr="00E144FB">
        <w:rPr>
          <w:rFonts w:ascii="David" w:eastAsia="Calibri" w:hAnsi="David" w:hint="cs"/>
          <w:rtl/>
        </w:rPr>
        <w:t xml:space="preserve">, </w:t>
      </w:r>
      <w:r w:rsidRPr="00E144FB">
        <w:rPr>
          <w:rFonts w:ascii="David" w:eastAsia="Calibri" w:hAnsi="David"/>
          <w:b/>
          <w:bCs/>
          <w:rtl/>
        </w:rPr>
        <w:t>עדים השומעים את לשונו של המצווה</w:t>
      </w:r>
      <w:r w:rsidRPr="00E144FB">
        <w:rPr>
          <w:rFonts w:ascii="David" w:eastAsia="Calibri" w:hAnsi="David"/>
          <w:rtl/>
        </w:rPr>
        <w:t xml:space="preserve"> </w:t>
      </w:r>
      <w:r w:rsidRPr="00E144FB">
        <w:rPr>
          <w:rFonts w:ascii="David" w:eastAsia="Calibri" w:hAnsi="David" w:hint="cs"/>
          <w:rtl/>
        </w:rPr>
        <w:t xml:space="preserve">– קבע בית משפט קמא כי </w:t>
      </w:r>
      <w:r w:rsidRPr="00E144FB">
        <w:rPr>
          <w:rFonts w:ascii="David" w:eastAsia="Calibri" w:hAnsi="David"/>
          <w:rtl/>
        </w:rPr>
        <w:t xml:space="preserve">לגבי הצוואה הנטענת מיום 17.12.2021 </w:t>
      </w:r>
      <w:r w:rsidRPr="00E144FB">
        <w:rPr>
          <w:rFonts w:ascii="David" w:eastAsia="Calibri" w:hAnsi="David" w:hint="cs"/>
          <w:rtl/>
        </w:rPr>
        <w:t xml:space="preserve">מתקיים </w:t>
      </w:r>
      <w:r w:rsidRPr="00E144FB">
        <w:rPr>
          <w:rFonts w:ascii="David" w:eastAsia="Calibri" w:hAnsi="David"/>
          <w:rtl/>
        </w:rPr>
        <w:t>התנאי</w:t>
      </w:r>
      <w:r w:rsidRPr="00E144FB">
        <w:rPr>
          <w:rFonts w:ascii="David" w:eastAsia="Calibri" w:hAnsi="David" w:hint="cs"/>
          <w:rtl/>
        </w:rPr>
        <w:t xml:space="preserve">, אך לא לגבי </w:t>
      </w:r>
      <w:r w:rsidRPr="00E144FB">
        <w:rPr>
          <w:rFonts w:ascii="David" w:eastAsia="Calibri" w:hAnsi="David"/>
          <w:rtl/>
        </w:rPr>
        <w:t>הצוואה משנת 2022</w:t>
      </w:r>
      <w:r w:rsidRPr="00E144FB">
        <w:rPr>
          <w:rFonts w:ascii="David" w:eastAsia="Calibri" w:hAnsi="David" w:hint="cs"/>
          <w:rtl/>
        </w:rPr>
        <w:t>. בית משפט קמא דחה את טענת</w:t>
      </w:r>
      <w:r w:rsidRPr="00E144FB">
        <w:rPr>
          <w:rFonts w:ascii="David" w:eastAsia="Calibri" w:hAnsi="David"/>
          <w:rtl/>
        </w:rPr>
        <w:t xml:space="preserve"> ה</w:t>
      </w:r>
      <w:r w:rsidRPr="00E144FB">
        <w:rPr>
          <w:rFonts w:ascii="David" w:eastAsia="Calibri" w:hAnsi="David" w:hint="cs"/>
          <w:rtl/>
        </w:rPr>
        <w:t xml:space="preserve">מערער לפיה </w:t>
      </w:r>
      <w:r w:rsidRPr="00E144FB">
        <w:rPr>
          <w:rFonts w:ascii="David" w:eastAsia="Calibri" w:hAnsi="David"/>
          <w:rtl/>
        </w:rPr>
        <w:t xml:space="preserve">המנוחה התקשתה לנשום </w:t>
      </w:r>
      <w:r w:rsidRPr="00E144FB">
        <w:rPr>
          <w:rFonts w:ascii="David" w:eastAsia="Calibri" w:hAnsi="David" w:hint="cs"/>
          <w:rtl/>
        </w:rPr>
        <w:t xml:space="preserve">וקבע כי בתיעוד הרפואי מתקופת האשפוז צוין כי הנשימה תקינה </w:t>
      </w:r>
      <w:r w:rsidRPr="00E144FB">
        <w:rPr>
          <w:rFonts w:ascii="David" w:eastAsia="Calibri" w:hAnsi="David"/>
          <w:rtl/>
        </w:rPr>
        <w:t>ולא הוצג תיעוד רפואי אחד המצביע על קושי בנשימה (פסקה 53</w:t>
      </w:r>
      <w:r w:rsidRPr="00E144FB">
        <w:rPr>
          <w:rFonts w:ascii="David" w:eastAsia="Calibri" w:hAnsi="David" w:hint="cs"/>
          <w:rtl/>
        </w:rPr>
        <w:t xml:space="preserve"> לפסק הדין קמא</w:t>
      </w:r>
      <w:r w:rsidRPr="00E144FB">
        <w:rPr>
          <w:rFonts w:ascii="David" w:eastAsia="Calibri" w:hAnsi="David"/>
          <w:rtl/>
        </w:rPr>
        <w:t>)</w:t>
      </w:r>
      <w:r w:rsidRPr="00E144FB">
        <w:rPr>
          <w:rFonts w:ascii="David" w:eastAsia="Calibri" w:hAnsi="David" w:hint="cs"/>
          <w:rtl/>
        </w:rPr>
        <w:t>.</w:t>
      </w:r>
    </w:p>
    <w:p w:rsidR="005D2DA5" w:rsidRPr="0012111C" w:rsidRDefault="005D2DA5" w:rsidP="005D2DA5">
      <w:pPr>
        <w:pStyle w:val="ad"/>
        <w:numPr>
          <w:ilvl w:val="0"/>
          <w:numId w:val="1"/>
        </w:numPr>
        <w:spacing w:after="120" w:line="360" w:lineRule="auto"/>
        <w:contextualSpacing w:val="0"/>
        <w:jc w:val="both"/>
        <w:rPr>
          <w:rFonts w:ascii="David" w:eastAsia="Calibri" w:hAnsi="David"/>
          <w:b/>
          <w:bCs/>
        </w:rPr>
      </w:pPr>
      <w:r w:rsidRPr="00275BF3">
        <w:rPr>
          <w:rFonts w:ascii="David" w:eastAsia="Calibri" w:hAnsi="David" w:hint="cs"/>
          <w:u w:val="single"/>
          <w:rtl/>
        </w:rPr>
        <w:lastRenderedPageBreak/>
        <w:t>ביחס לתנאי הרביעי</w:t>
      </w:r>
      <w:r>
        <w:rPr>
          <w:rFonts w:ascii="David" w:eastAsia="Calibri" w:hAnsi="David" w:hint="cs"/>
          <w:rtl/>
        </w:rPr>
        <w:t xml:space="preserve"> –</w:t>
      </w:r>
      <w:r w:rsidRPr="00275BF3">
        <w:rPr>
          <w:rFonts w:ascii="David" w:eastAsia="Calibri" w:hAnsi="David" w:hint="cs"/>
          <w:b/>
          <w:bCs/>
          <w:rtl/>
        </w:rPr>
        <w:t xml:space="preserve"> </w:t>
      </w:r>
      <w:r w:rsidRPr="00275BF3">
        <w:rPr>
          <w:rFonts w:ascii="David" w:eastAsia="Calibri" w:hAnsi="David"/>
          <w:b/>
          <w:bCs/>
          <w:rtl/>
        </w:rPr>
        <w:t>דברי המצווה, יום הצוואה והנסיבות שבהן נעשתה הצוואה יירשמו בזכרון דברים, ככל האפשר בסמוך למוע</w:t>
      </w:r>
      <w:r>
        <w:rPr>
          <w:rFonts w:ascii="David" w:eastAsia="Calibri" w:hAnsi="David"/>
          <w:b/>
          <w:bCs/>
          <w:rtl/>
        </w:rPr>
        <w:t>ד שבו ניתן לעשותם</w:t>
      </w:r>
      <w:r w:rsidRPr="00275BF3">
        <w:rPr>
          <w:rFonts w:ascii="David" w:eastAsia="Calibri" w:hAnsi="David" w:hint="cs"/>
          <w:rtl/>
        </w:rPr>
        <w:t>,</w:t>
      </w:r>
      <w:r>
        <w:rPr>
          <w:rFonts w:ascii="David" w:eastAsia="Calibri" w:hAnsi="David" w:hint="cs"/>
          <w:b/>
          <w:bCs/>
          <w:rtl/>
        </w:rPr>
        <w:t xml:space="preserve"> </w:t>
      </w:r>
      <w:r>
        <w:rPr>
          <w:rFonts w:ascii="David" w:eastAsia="Calibri" w:hAnsi="David" w:hint="cs"/>
          <w:rtl/>
        </w:rPr>
        <w:t xml:space="preserve">בית משפט קמא קבע כי </w:t>
      </w:r>
      <w:r w:rsidR="005D14AE">
        <w:rPr>
          <w:rFonts w:ascii="David" w:eastAsia="Calibri" w:hAnsi="David"/>
          <w:rtl/>
        </w:rPr>
        <w:t>המערער וגב' ר</w:t>
      </w:r>
      <w:r w:rsidR="005D14AE">
        <w:rPr>
          <w:rFonts w:ascii="David" w:eastAsia="Calibri" w:hAnsi="David" w:hint="cs"/>
          <w:rtl/>
        </w:rPr>
        <w:t>. ש.</w:t>
      </w:r>
      <w:r w:rsidRPr="00275BF3">
        <w:rPr>
          <w:rFonts w:ascii="David" w:eastAsia="Calibri" w:hAnsi="David"/>
          <w:rtl/>
        </w:rPr>
        <w:t xml:space="preserve"> לא פ</w:t>
      </w:r>
      <w:r>
        <w:rPr>
          <w:rFonts w:ascii="David" w:eastAsia="Calibri" w:hAnsi="David" w:hint="cs"/>
          <w:rtl/>
        </w:rPr>
        <w:t>י</w:t>
      </w:r>
      <w:r w:rsidRPr="00275BF3">
        <w:rPr>
          <w:rFonts w:ascii="David" w:eastAsia="Calibri" w:hAnsi="David"/>
          <w:rtl/>
        </w:rPr>
        <w:t xml:space="preserve">רטו </w:t>
      </w:r>
      <w:r>
        <w:rPr>
          <w:rFonts w:ascii="David" w:eastAsia="Calibri" w:hAnsi="David" w:hint="cs"/>
          <w:rtl/>
        </w:rPr>
        <w:t>לגבי</w:t>
      </w:r>
      <w:r w:rsidRPr="00275BF3">
        <w:rPr>
          <w:rFonts w:ascii="David" w:eastAsia="Calibri" w:hAnsi="David"/>
          <w:rtl/>
        </w:rPr>
        <w:t xml:space="preserve"> נסיבות עריכת </w:t>
      </w:r>
      <w:r>
        <w:rPr>
          <w:rFonts w:ascii="David" w:eastAsia="Calibri" w:hAnsi="David" w:hint="cs"/>
          <w:rtl/>
        </w:rPr>
        <w:t xml:space="preserve">הצוואה וכי </w:t>
      </w:r>
      <w:r>
        <w:rPr>
          <w:rFonts w:ascii="David" w:eastAsia="Calibri" w:hAnsi="David"/>
          <w:rtl/>
        </w:rPr>
        <w:t>קיים קושי רב בזיכרון הדברים</w:t>
      </w:r>
      <w:r w:rsidRPr="006F5551">
        <w:rPr>
          <w:rFonts w:ascii="David" w:eastAsia="Calibri" w:hAnsi="David"/>
          <w:rtl/>
        </w:rPr>
        <w:t xml:space="preserve"> שלא כלל תיאור</w:t>
      </w:r>
      <w:r w:rsidRPr="00275BF3">
        <w:rPr>
          <w:rFonts w:ascii="David" w:eastAsia="Calibri" w:hAnsi="David"/>
          <w:b/>
          <w:bCs/>
          <w:rtl/>
        </w:rPr>
        <w:t xml:space="preserve"> </w:t>
      </w:r>
      <w:r w:rsidRPr="004213AD">
        <w:rPr>
          <w:rFonts w:ascii="David" w:eastAsia="Calibri" w:hAnsi="David"/>
          <w:rtl/>
        </w:rPr>
        <w:t>מינימלי לאופן ונסיבות ער</w:t>
      </w:r>
      <w:r>
        <w:rPr>
          <w:rFonts w:ascii="David" w:eastAsia="Calibri" w:hAnsi="David" w:hint="cs"/>
          <w:rtl/>
        </w:rPr>
        <w:t>י</w:t>
      </w:r>
      <w:r w:rsidRPr="004213AD">
        <w:rPr>
          <w:rFonts w:ascii="David" w:eastAsia="Calibri" w:hAnsi="David"/>
          <w:rtl/>
        </w:rPr>
        <w:t>כת הצוואה</w:t>
      </w:r>
      <w:r>
        <w:rPr>
          <w:rFonts w:ascii="David" w:eastAsia="Calibri" w:hAnsi="David" w:hint="cs"/>
          <w:rtl/>
        </w:rPr>
        <w:t xml:space="preserve"> </w:t>
      </w:r>
      <w:r w:rsidRPr="00275BF3">
        <w:rPr>
          <w:rFonts w:ascii="David" w:eastAsia="Calibri" w:hAnsi="David"/>
          <w:rtl/>
        </w:rPr>
        <w:t>(פסקה 58</w:t>
      </w:r>
      <w:r w:rsidRPr="00275BF3">
        <w:rPr>
          <w:rFonts w:ascii="David" w:eastAsia="Calibri" w:hAnsi="David" w:hint="cs"/>
          <w:b/>
          <w:bCs/>
          <w:rtl/>
        </w:rPr>
        <w:t xml:space="preserve"> </w:t>
      </w:r>
      <w:r w:rsidRPr="00275BF3">
        <w:rPr>
          <w:rFonts w:ascii="David" w:eastAsia="Calibri" w:hAnsi="David" w:hint="cs"/>
          <w:rtl/>
        </w:rPr>
        <w:t>לפסק הדין קמא</w:t>
      </w:r>
      <w:r w:rsidRPr="00C46224">
        <w:rPr>
          <w:rFonts w:ascii="David" w:eastAsia="Calibri" w:hAnsi="David"/>
          <w:rtl/>
        </w:rPr>
        <w:t>).</w:t>
      </w:r>
    </w:p>
    <w:p w:rsidR="005D2DA5" w:rsidRPr="00E144FB" w:rsidRDefault="005D2DA5" w:rsidP="005D14AE">
      <w:pPr>
        <w:pStyle w:val="ad"/>
        <w:numPr>
          <w:ilvl w:val="0"/>
          <w:numId w:val="1"/>
        </w:numPr>
        <w:spacing w:after="120" w:line="360" w:lineRule="auto"/>
        <w:contextualSpacing w:val="0"/>
        <w:jc w:val="both"/>
        <w:rPr>
          <w:rFonts w:ascii="David" w:eastAsia="Calibri" w:hAnsi="David"/>
          <w:rtl/>
        </w:rPr>
      </w:pPr>
      <w:r w:rsidRPr="00E144FB">
        <w:rPr>
          <w:rFonts w:ascii="David" w:eastAsia="Calibri" w:hAnsi="David" w:hint="cs"/>
          <w:u w:val="single"/>
          <w:rtl/>
        </w:rPr>
        <w:t>ביחס לתנאי החמישי</w:t>
      </w:r>
      <w:r w:rsidRPr="00E144FB">
        <w:rPr>
          <w:rFonts w:ascii="David" w:eastAsia="Calibri" w:hAnsi="David" w:hint="cs"/>
          <w:rtl/>
        </w:rPr>
        <w:t xml:space="preserve"> – </w:t>
      </w:r>
      <w:r w:rsidRPr="00E144FB">
        <w:rPr>
          <w:rFonts w:ascii="David" w:eastAsia="Calibri" w:hAnsi="David"/>
          <w:b/>
          <w:bCs/>
          <w:rtl/>
        </w:rPr>
        <w:t>זיכרון הדברים ייחתם בידי שני עדים ככל האפשר בסמוך למועד שבו ניתן לעשותם</w:t>
      </w:r>
      <w:r w:rsidRPr="00E144FB">
        <w:rPr>
          <w:rFonts w:ascii="David" w:eastAsia="Calibri" w:hAnsi="David" w:hint="cs"/>
          <w:rtl/>
        </w:rPr>
        <w:t xml:space="preserve">, </w:t>
      </w:r>
      <w:r w:rsidRPr="00E144FB">
        <w:rPr>
          <w:rFonts w:ascii="David" w:eastAsia="Calibri" w:hAnsi="David"/>
          <w:rtl/>
        </w:rPr>
        <w:t>המ</w:t>
      </w:r>
      <w:r w:rsidRPr="00E144FB">
        <w:rPr>
          <w:rFonts w:ascii="David" w:eastAsia="Calibri" w:hAnsi="David" w:hint="cs"/>
          <w:rtl/>
        </w:rPr>
        <w:t>ערער</w:t>
      </w:r>
      <w:r w:rsidRPr="00E144FB">
        <w:rPr>
          <w:rFonts w:ascii="David" w:eastAsia="Calibri" w:hAnsi="David"/>
          <w:rtl/>
        </w:rPr>
        <w:t xml:space="preserve"> וגב' </w:t>
      </w:r>
      <w:r w:rsidR="005D14AE">
        <w:rPr>
          <w:rFonts w:ascii="David" w:eastAsia="Calibri" w:hAnsi="David" w:hint="cs"/>
          <w:rtl/>
        </w:rPr>
        <w:t>ר. ש.</w:t>
      </w:r>
      <w:r w:rsidRPr="00E144FB">
        <w:rPr>
          <w:rFonts w:ascii="David" w:eastAsia="Calibri" w:hAnsi="David" w:hint="cs"/>
          <w:rtl/>
        </w:rPr>
        <w:t xml:space="preserve"> </w:t>
      </w:r>
      <w:r w:rsidRPr="00E144FB">
        <w:rPr>
          <w:rFonts w:ascii="David" w:eastAsia="Calibri" w:hAnsi="David"/>
          <w:rtl/>
        </w:rPr>
        <w:t>חתמו על המסמך הנחזה להיות זיכרון דברים וא</w:t>
      </w:r>
      <w:r w:rsidRPr="00E144FB">
        <w:rPr>
          <w:rFonts w:ascii="David" w:eastAsia="Calibri" w:hAnsi="David" w:hint="cs"/>
          <w:rtl/>
        </w:rPr>
        <w:t>י</w:t>
      </w:r>
      <w:r w:rsidRPr="00E144FB">
        <w:rPr>
          <w:rFonts w:ascii="David" w:eastAsia="Calibri" w:hAnsi="David"/>
          <w:rtl/>
        </w:rPr>
        <w:t>שרו את חתימתם</w:t>
      </w:r>
      <w:r w:rsidRPr="00E144FB">
        <w:rPr>
          <w:rFonts w:ascii="David" w:eastAsia="Calibri" w:hAnsi="David" w:hint="cs"/>
          <w:rtl/>
        </w:rPr>
        <w:t xml:space="preserve"> (פסקה 59 לפסק הדין קמא).</w:t>
      </w:r>
    </w:p>
    <w:p w:rsidR="005D2DA5" w:rsidRPr="00E144FB" w:rsidRDefault="005D2DA5" w:rsidP="00E2171F">
      <w:pPr>
        <w:pStyle w:val="ad"/>
        <w:numPr>
          <w:ilvl w:val="0"/>
          <w:numId w:val="1"/>
        </w:numPr>
        <w:spacing w:after="120" w:line="360" w:lineRule="auto"/>
        <w:contextualSpacing w:val="0"/>
        <w:jc w:val="both"/>
        <w:rPr>
          <w:rFonts w:ascii="David" w:eastAsia="Calibri" w:hAnsi="David"/>
          <w:b/>
          <w:bCs/>
          <w:u w:val="single"/>
          <w:rtl/>
        </w:rPr>
      </w:pPr>
      <w:r w:rsidRPr="00E144FB">
        <w:rPr>
          <w:rFonts w:ascii="David" w:eastAsia="Calibri" w:hAnsi="David" w:hint="cs"/>
          <w:u w:val="single"/>
          <w:rtl/>
        </w:rPr>
        <w:t>ביחס לתנאי השישי</w:t>
      </w:r>
      <w:r w:rsidRPr="00E144FB">
        <w:rPr>
          <w:rFonts w:ascii="David" w:eastAsia="Calibri" w:hAnsi="David" w:hint="cs"/>
          <w:rtl/>
        </w:rPr>
        <w:t xml:space="preserve"> – </w:t>
      </w:r>
      <w:r w:rsidRPr="00E144FB">
        <w:rPr>
          <w:rFonts w:ascii="David" w:eastAsia="Calibri" w:hAnsi="David"/>
          <w:b/>
          <w:bCs/>
          <w:rtl/>
        </w:rPr>
        <w:t>זיכרון הדברים הרשום והחתום ע"י העדים, יופקד אצל הרשם לענייני ירושה. ככל האפשר בסמוך למועד שבו ניתן לעשותם</w:t>
      </w:r>
      <w:r w:rsidRPr="00E144FB">
        <w:rPr>
          <w:rFonts w:ascii="David" w:eastAsia="Calibri" w:hAnsi="David" w:hint="cs"/>
          <w:rtl/>
        </w:rPr>
        <w:t xml:space="preserve">, </w:t>
      </w:r>
      <w:r w:rsidRPr="00E144FB">
        <w:rPr>
          <w:rFonts w:ascii="David" w:hAnsi="David"/>
          <w:rtl/>
          <w:lang w:eastAsia="he-IL"/>
        </w:rPr>
        <w:t>אלא שבמקרה דנן, מתעורר ספק באמתותה של הצוואה הנטענת, זאת משלא הוכח, ברמה הנדרשת, שהמנוחה אכן גמרה אומר לצוות את כספה או רכושה למבקש</w:t>
      </w:r>
      <w:r w:rsidRPr="00E144FB">
        <w:rPr>
          <w:rFonts w:ascii="David" w:hAnsi="David" w:hint="cs"/>
          <w:rtl/>
          <w:lang w:eastAsia="he-IL"/>
        </w:rPr>
        <w:t xml:space="preserve"> </w:t>
      </w:r>
      <w:r w:rsidRPr="00E144FB">
        <w:rPr>
          <w:rFonts w:ascii="David" w:eastAsia="Calibri" w:hAnsi="David"/>
          <w:rtl/>
          <w:lang w:eastAsia="he-IL"/>
        </w:rPr>
        <w:t>(פסקה 61</w:t>
      </w:r>
      <w:r w:rsidRPr="00E144FB">
        <w:rPr>
          <w:rFonts w:ascii="David" w:eastAsia="Calibri" w:hAnsi="David" w:hint="cs"/>
          <w:rtl/>
          <w:lang w:eastAsia="he-IL"/>
        </w:rPr>
        <w:t xml:space="preserve"> </w:t>
      </w:r>
      <w:r w:rsidRPr="00E144FB">
        <w:rPr>
          <w:rFonts w:ascii="David" w:eastAsia="Calibri" w:hAnsi="David" w:hint="cs"/>
          <w:rtl/>
        </w:rPr>
        <w:t>לפסק הדין קמא</w:t>
      </w:r>
      <w:r w:rsidRPr="00E144FB">
        <w:rPr>
          <w:rFonts w:ascii="David" w:eastAsia="Calibri" w:hAnsi="David"/>
          <w:rtl/>
          <w:lang w:eastAsia="he-IL"/>
        </w:rPr>
        <w:t>).</w:t>
      </w:r>
    </w:p>
    <w:p w:rsidR="005D2DA5" w:rsidRPr="00E144FB" w:rsidRDefault="005D2DA5" w:rsidP="0006761E">
      <w:pPr>
        <w:pStyle w:val="ad"/>
        <w:numPr>
          <w:ilvl w:val="0"/>
          <w:numId w:val="1"/>
        </w:numPr>
        <w:spacing w:after="120" w:line="360" w:lineRule="auto"/>
        <w:contextualSpacing w:val="0"/>
        <w:jc w:val="both"/>
        <w:rPr>
          <w:rFonts w:ascii="David" w:eastAsia="Calibri" w:hAnsi="David"/>
          <w:rtl/>
        </w:rPr>
      </w:pPr>
      <w:r w:rsidRPr="00E144FB">
        <w:rPr>
          <w:rFonts w:ascii="David" w:eastAsia="Calibri" w:hAnsi="David" w:hint="cs"/>
          <w:rtl/>
        </w:rPr>
        <w:t xml:space="preserve">בית משפט קמא בחן את </w:t>
      </w:r>
      <w:r w:rsidRPr="00E144FB">
        <w:rPr>
          <w:rFonts w:ascii="David" w:eastAsia="Calibri" w:hAnsi="David" w:hint="cs"/>
          <w:b/>
          <w:bCs/>
          <w:u w:val="single"/>
          <w:rtl/>
        </w:rPr>
        <w:t>התנאי ל</w:t>
      </w:r>
      <w:r w:rsidRPr="00E144FB">
        <w:rPr>
          <w:rFonts w:ascii="David" w:eastAsia="Calibri" w:hAnsi="David"/>
          <w:b/>
          <w:bCs/>
          <w:u w:val="single"/>
          <w:rtl/>
        </w:rPr>
        <w:t>דרישת גמירת הדעת</w:t>
      </w:r>
      <w:r w:rsidRPr="00E144FB">
        <w:rPr>
          <w:rFonts w:ascii="David" w:eastAsia="Calibri" w:hAnsi="David" w:hint="cs"/>
          <w:b/>
          <w:bCs/>
          <w:rtl/>
        </w:rPr>
        <w:t xml:space="preserve"> </w:t>
      </w:r>
      <w:r w:rsidRPr="00E144FB">
        <w:rPr>
          <w:rFonts w:ascii="David" w:eastAsia="Calibri" w:hAnsi="David" w:hint="cs"/>
          <w:rtl/>
        </w:rPr>
        <w:t>וקבע כי</w:t>
      </w:r>
      <w:r w:rsidRPr="00E144FB">
        <w:rPr>
          <w:rFonts w:ascii="David" w:eastAsia="Calibri" w:hAnsi="David" w:hint="cs"/>
          <w:b/>
          <w:bCs/>
          <w:rtl/>
        </w:rPr>
        <w:t xml:space="preserve"> </w:t>
      </w:r>
      <w:r w:rsidRPr="00E144FB">
        <w:rPr>
          <w:rFonts w:ascii="David" w:eastAsia="Calibri" w:hAnsi="David"/>
          <w:rtl/>
        </w:rPr>
        <w:t>אין בזיכרון הדברים (בשני המועדים 17.12.2021 ו</w:t>
      </w:r>
      <w:r w:rsidRPr="00E144FB">
        <w:rPr>
          <w:rFonts w:ascii="David" w:eastAsia="Calibri" w:hAnsi="David" w:hint="cs"/>
          <w:rtl/>
        </w:rPr>
        <w:t>-</w:t>
      </w:r>
      <w:r w:rsidRPr="00E144FB">
        <w:rPr>
          <w:rFonts w:ascii="David" w:eastAsia="Calibri" w:hAnsi="David"/>
          <w:rtl/>
        </w:rPr>
        <w:t>24.</w:t>
      </w:r>
      <w:r w:rsidRPr="00E144FB">
        <w:rPr>
          <w:rFonts w:ascii="David" w:eastAsia="Calibri" w:hAnsi="David" w:hint="cs"/>
          <w:rtl/>
        </w:rPr>
        <w:t>0</w:t>
      </w:r>
      <w:r w:rsidRPr="00E144FB">
        <w:rPr>
          <w:rFonts w:ascii="David" w:eastAsia="Calibri" w:hAnsi="David"/>
          <w:rtl/>
        </w:rPr>
        <w:t>1.2022) כל אמירה כי מדובר בצוואה</w:t>
      </w:r>
      <w:r w:rsidRPr="00E144FB">
        <w:rPr>
          <w:rFonts w:ascii="David" w:eastAsia="Calibri" w:hAnsi="David"/>
          <w:b/>
          <w:bCs/>
          <w:rtl/>
        </w:rPr>
        <w:t xml:space="preserve"> </w:t>
      </w:r>
      <w:r w:rsidRPr="00E144FB">
        <w:rPr>
          <w:rFonts w:ascii="David" w:eastAsia="Calibri" w:hAnsi="David"/>
          <w:rtl/>
        </w:rPr>
        <w:t>(פסקה 63</w:t>
      </w:r>
      <w:r w:rsidRPr="00E144FB">
        <w:rPr>
          <w:rFonts w:ascii="David" w:eastAsia="Calibri" w:hAnsi="David" w:hint="cs"/>
          <w:rtl/>
        </w:rPr>
        <w:t xml:space="preserve"> לפסק הדין קמא)</w:t>
      </w:r>
      <w:r w:rsidRPr="00E144FB">
        <w:rPr>
          <w:rFonts w:ascii="David" w:eastAsia="Calibri" w:hAnsi="David"/>
          <w:rtl/>
        </w:rPr>
        <w:t xml:space="preserve">. </w:t>
      </w:r>
      <w:r w:rsidRPr="00E144FB">
        <w:rPr>
          <w:rFonts w:ascii="David" w:eastAsia="Calibri" w:hAnsi="David" w:hint="cs"/>
          <w:rtl/>
        </w:rPr>
        <w:t>חיזוק למסקנתו זו מוצא בית משפט קמ</w:t>
      </w:r>
      <w:r w:rsidRPr="00B57C11">
        <w:rPr>
          <w:rFonts w:ascii="David" w:eastAsia="Calibri" w:hAnsi="David" w:hint="cs"/>
          <w:rtl/>
        </w:rPr>
        <w:t xml:space="preserve">א בדברי העדה לצוואה, כי </w:t>
      </w:r>
      <w:r w:rsidRPr="00B57C11">
        <w:rPr>
          <w:rFonts w:ascii="David" w:eastAsia="Calibri" w:hAnsi="David"/>
          <w:rtl/>
        </w:rPr>
        <w:t>בזיכרון דברים מטעמה עת שנשאלה המנוחה בנוגע לגורל הכספים, השיבה "</w:t>
      </w:r>
      <w:r w:rsidRPr="00E144FB">
        <w:rPr>
          <w:rFonts w:ascii="David" w:eastAsia="Calibri" w:hAnsi="David"/>
          <w:b/>
          <w:bCs/>
          <w:rtl/>
        </w:rPr>
        <w:t>נדבר על זה</w:t>
      </w:r>
      <w:r w:rsidRPr="00E144FB">
        <w:rPr>
          <w:rFonts w:ascii="David" w:eastAsia="Calibri" w:hAnsi="David"/>
          <w:rtl/>
        </w:rPr>
        <w:t xml:space="preserve">". </w:t>
      </w:r>
      <w:r w:rsidRPr="00E144FB">
        <w:rPr>
          <w:rFonts w:ascii="David" w:eastAsia="Calibri" w:hAnsi="David" w:hint="cs"/>
          <w:rtl/>
        </w:rPr>
        <w:t>בית משפט קמא הסיק שה</w:t>
      </w:r>
      <w:r w:rsidRPr="00E144FB">
        <w:rPr>
          <w:rFonts w:ascii="David" w:eastAsia="Calibri" w:hAnsi="David"/>
          <w:rtl/>
        </w:rPr>
        <w:t xml:space="preserve">מנוחה </w:t>
      </w:r>
      <w:r w:rsidRPr="00E144FB">
        <w:rPr>
          <w:rFonts w:ascii="David" w:eastAsia="Calibri" w:hAnsi="David" w:hint="cs"/>
          <w:rtl/>
        </w:rPr>
        <w:t xml:space="preserve">העריכה שתהיה לה </w:t>
      </w:r>
      <w:r w:rsidRPr="00E144FB">
        <w:rPr>
          <w:rFonts w:ascii="David" w:eastAsia="Calibri" w:hAnsi="David"/>
          <w:rtl/>
        </w:rPr>
        <w:t xml:space="preserve">הזדמנות נוספת לדבר על זה, משמע </w:t>
      </w:r>
      <w:r w:rsidRPr="00E144FB">
        <w:rPr>
          <w:rFonts w:ascii="David" w:eastAsia="Calibri" w:hAnsi="David" w:hint="cs"/>
          <w:rtl/>
        </w:rPr>
        <w:t xml:space="preserve">שהיא תמשיך </w:t>
      </w:r>
      <w:r w:rsidRPr="00E144FB">
        <w:rPr>
          <w:rFonts w:ascii="David" w:eastAsia="Calibri" w:hAnsi="David"/>
          <w:rtl/>
        </w:rPr>
        <w:t>לחיות. דברים אלו כשלעצמם, פוסלים כל אמירה קודמת ומלמדים כי למנוחה לא  הייתה גמירות דעת לעריכת צוואה. המנוחה</w:t>
      </w:r>
      <w:r w:rsidRPr="00E144FB">
        <w:rPr>
          <w:rFonts w:ascii="David" w:eastAsia="Calibri" w:hAnsi="David" w:hint="cs"/>
          <w:rtl/>
        </w:rPr>
        <w:t xml:space="preserve">, כך קבע בית משפט קמא, </w:t>
      </w:r>
      <w:r w:rsidRPr="00E144FB">
        <w:rPr>
          <w:rFonts w:ascii="David" w:eastAsia="Calibri" w:hAnsi="David"/>
          <w:rtl/>
        </w:rPr>
        <w:t>לא נקטה בלשון ציווי, ואף לא כוונה את דבריה לאשר יתרחש לאחר מותה</w:t>
      </w:r>
      <w:r w:rsidRPr="00E144FB">
        <w:rPr>
          <w:rFonts w:ascii="David" w:eastAsia="Calibri" w:hAnsi="David" w:hint="cs"/>
          <w:rtl/>
        </w:rPr>
        <w:t xml:space="preserve"> </w:t>
      </w:r>
      <w:r w:rsidRPr="00E144FB">
        <w:rPr>
          <w:rFonts w:ascii="David" w:eastAsia="Calibri" w:hAnsi="David"/>
          <w:rtl/>
        </w:rPr>
        <w:t>(פסקה 64</w:t>
      </w:r>
      <w:r w:rsidRPr="00E144FB">
        <w:rPr>
          <w:rFonts w:ascii="David" w:eastAsia="Calibri" w:hAnsi="David" w:hint="cs"/>
          <w:rtl/>
        </w:rPr>
        <w:t xml:space="preserve"> לפסק הדין קמא).</w:t>
      </w:r>
    </w:p>
    <w:p w:rsidR="005D2DA5" w:rsidRDefault="005D2DA5" w:rsidP="005D2DA5">
      <w:pPr>
        <w:pStyle w:val="ad"/>
        <w:numPr>
          <w:ilvl w:val="0"/>
          <w:numId w:val="1"/>
        </w:numPr>
        <w:spacing w:after="120" w:line="360" w:lineRule="auto"/>
        <w:contextualSpacing w:val="0"/>
        <w:jc w:val="both"/>
        <w:rPr>
          <w:rFonts w:ascii="David" w:eastAsia="Calibri" w:hAnsi="David"/>
        </w:rPr>
      </w:pPr>
      <w:r>
        <w:rPr>
          <w:rFonts w:ascii="David" w:eastAsia="Calibri" w:hAnsi="David" w:hint="cs"/>
          <w:rtl/>
        </w:rPr>
        <w:t xml:space="preserve">בהמשך בחן בית משפט קמא ראיות נוספות – תמליל שיחה עם המנוחה, שצירף המערער, </w:t>
      </w:r>
      <w:r>
        <w:rPr>
          <w:rFonts w:ascii="David" w:eastAsia="Calibri" w:hAnsi="David"/>
          <w:rtl/>
        </w:rPr>
        <w:t xml:space="preserve">ממנו עולה, לכאורה, </w:t>
      </w:r>
      <w:r w:rsidRPr="00633454">
        <w:rPr>
          <w:rFonts w:ascii="David" w:eastAsia="Calibri" w:hAnsi="David"/>
          <w:rtl/>
        </w:rPr>
        <w:t xml:space="preserve">כי בשלב מסוים, הביעה המנוחה רצון לערוך </w:t>
      </w:r>
      <w:r w:rsidRPr="00633454">
        <w:rPr>
          <w:rFonts w:ascii="David" w:eastAsia="Calibri" w:hAnsi="David"/>
          <w:u w:val="single"/>
          <w:rtl/>
        </w:rPr>
        <w:t>ייפוי כוח מתמשך ואף צוואה לטובתו</w:t>
      </w:r>
      <w:r>
        <w:rPr>
          <w:rFonts w:ascii="David" w:eastAsia="Calibri" w:hAnsi="David" w:hint="cs"/>
          <w:rtl/>
        </w:rPr>
        <w:t xml:space="preserve">. בית משפט קמא קובע כי </w:t>
      </w:r>
      <w:r>
        <w:rPr>
          <w:rFonts w:ascii="David" w:eastAsia="Calibri" w:hAnsi="David"/>
          <w:rtl/>
        </w:rPr>
        <w:t>המנוחה לא עשתה כן, זאת במשך שנה לפחות,</w:t>
      </w:r>
      <w:r>
        <w:rPr>
          <w:rFonts w:ascii="David" w:eastAsia="Calibri" w:hAnsi="David" w:hint="cs"/>
          <w:rtl/>
        </w:rPr>
        <w:t xml:space="preserve"> </w:t>
      </w:r>
      <w:r w:rsidRPr="00246842">
        <w:rPr>
          <w:rFonts w:ascii="David" w:eastAsia="Calibri" w:hAnsi="David"/>
          <w:rtl/>
        </w:rPr>
        <w:t xml:space="preserve">למרות </w:t>
      </w:r>
      <w:r>
        <w:rPr>
          <w:rFonts w:ascii="David" w:eastAsia="Calibri" w:hAnsi="David"/>
          <w:rtl/>
        </w:rPr>
        <w:t>שידעה כי היא חולה וזמנה קצוב</w:t>
      </w:r>
      <w:r>
        <w:rPr>
          <w:rFonts w:ascii="David" w:eastAsia="Calibri" w:hAnsi="David" w:hint="cs"/>
          <w:rtl/>
        </w:rPr>
        <w:t xml:space="preserve">. </w:t>
      </w:r>
      <w:r w:rsidRPr="00246842">
        <w:rPr>
          <w:rFonts w:ascii="David" w:eastAsia="Calibri" w:hAnsi="David"/>
          <w:rtl/>
        </w:rPr>
        <w:t xml:space="preserve">מדובר </w:t>
      </w:r>
      <w:r>
        <w:rPr>
          <w:rFonts w:ascii="David" w:eastAsia="Calibri" w:hAnsi="David"/>
          <w:rtl/>
        </w:rPr>
        <w:t>בשיחה שנערכה בחודש ספטמבר 2021</w:t>
      </w:r>
      <w:r w:rsidRPr="00246842">
        <w:rPr>
          <w:rFonts w:ascii="David" w:eastAsia="Calibri" w:hAnsi="David"/>
          <w:rtl/>
        </w:rPr>
        <w:t xml:space="preserve"> וכאשר בידי המנוחה זמן מספיק על מנ</w:t>
      </w:r>
      <w:r>
        <w:rPr>
          <w:rFonts w:ascii="David" w:eastAsia="Calibri" w:hAnsi="David"/>
          <w:rtl/>
        </w:rPr>
        <w:t xml:space="preserve">ת לערוך צוואה כפי שתמצא לנכון. </w:t>
      </w:r>
      <w:r w:rsidRPr="00246842">
        <w:rPr>
          <w:rFonts w:ascii="David" w:eastAsia="Calibri" w:hAnsi="David"/>
          <w:rtl/>
        </w:rPr>
        <w:t xml:space="preserve">עצם העובדה כי </w:t>
      </w:r>
      <w:r>
        <w:rPr>
          <w:rFonts w:ascii="David" w:eastAsia="Calibri" w:hAnsi="David" w:hint="cs"/>
          <w:rtl/>
        </w:rPr>
        <w:t>המערער</w:t>
      </w:r>
      <w:r w:rsidRPr="00246842">
        <w:rPr>
          <w:rFonts w:ascii="David" w:eastAsia="Calibri" w:hAnsi="David"/>
          <w:rtl/>
        </w:rPr>
        <w:t xml:space="preserve"> והמנוחה שוחחו ביניהם בנושא, ומנגד ה</w:t>
      </w:r>
      <w:r>
        <w:rPr>
          <w:rFonts w:ascii="David" w:eastAsia="Calibri" w:hAnsi="David" w:hint="cs"/>
          <w:rtl/>
        </w:rPr>
        <w:t>י</w:t>
      </w:r>
      <w:r w:rsidRPr="00246842">
        <w:rPr>
          <w:rFonts w:ascii="David" w:eastAsia="Calibri" w:hAnsi="David"/>
          <w:rtl/>
        </w:rPr>
        <w:t>עדרה של צוואה, ח</w:t>
      </w:r>
      <w:r>
        <w:rPr>
          <w:rFonts w:ascii="David" w:eastAsia="Calibri" w:hAnsi="David" w:hint="cs"/>
          <w:rtl/>
        </w:rPr>
        <w:t>י</w:t>
      </w:r>
      <w:r w:rsidRPr="00246842">
        <w:rPr>
          <w:rFonts w:ascii="David" w:eastAsia="Calibri" w:hAnsi="David"/>
          <w:rtl/>
        </w:rPr>
        <w:t xml:space="preserve">זק </w:t>
      </w:r>
      <w:r>
        <w:rPr>
          <w:rFonts w:ascii="David" w:eastAsia="Calibri" w:hAnsi="David" w:hint="cs"/>
          <w:rtl/>
        </w:rPr>
        <w:t xml:space="preserve">לפי שיטתו של בית משפט קמא </w:t>
      </w:r>
      <w:r w:rsidRPr="00246842">
        <w:rPr>
          <w:rFonts w:ascii="David" w:eastAsia="Calibri" w:hAnsi="David"/>
          <w:rtl/>
        </w:rPr>
        <w:t>את המסקנה כי המנוחה לא רצתה לערוך צ</w:t>
      </w:r>
      <w:r>
        <w:rPr>
          <w:rFonts w:ascii="David" w:eastAsia="Calibri" w:hAnsi="David"/>
          <w:rtl/>
        </w:rPr>
        <w:t>וואה, וזאת מסיבותיה השמורות עמה</w:t>
      </w:r>
      <w:r>
        <w:rPr>
          <w:rFonts w:ascii="David" w:eastAsia="Calibri" w:hAnsi="David" w:hint="cs"/>
          <w:rtl/>
        </w:rPr>
        <w:t xml:space="preserve"> </w:t>
      </w:r>
      <w:r w:rsidRPr="00246842">
        <w:rPr>
          <w:rFonts w:ascii="David" w:eastAsia="Calibri" w:hAnsi="David"/>
          <w:rtl/>
        </w:rPr>
        <w:t>(פסקה 66</w:t>
      </w:r>
      <w:r w:rsidRPr="00246842">
        <w:rPr>
          <w:rFonts w:ascii="David" w:eastAsia="Calibri" w:hAnsi="David" w:hint="cs"/>
          <w:rtl/>
        </w:rPr>
        <w:t xml:space="preserve"> לפסק הדין קמא</w:t>
      </w:r>
      <w:r w:rsidRPr="00246842">
        <w:rPr>
          <w:rFonts w:ascii="David" w:eastAsia="Calibri" w:hAnsi="David"/>
          <w:rtl/>
        </w:rPr>
        <w:t>).</w:t>
      </w:r>
    </w:p>
    <w:p w:rsidR="005D2DA5" w:rsidRPr="00D24CBB" w:rsidRDefault="005D2DA5" w:rsidP="005D2DA5">
      <w:pPr>
        <w:pStyle w:val="ad"/>
        <w:spacing w:after="120" w:line="360" w:lineRule="auto"/>
        <w:contextualSpacing w:val="0"/>
        <w:rPr>
          <w:rFonts w:ascii="David" w:eastAsia="Calibri" w:hAnsi="David"/>
          <w:rtl/>
        </w:rPr>
      </w:pPr>
    </w:p>
    <w:p w:rsidR="005D2DA5" w:rsidRPr="008C20C5" w:rsidRDefault="005D2DA5" w:rsidP="005D2DA5">
      <w:pPr>
        <w:spacing w:after="120" w:line="360" w:lineRule="auto"/>
        <w:ind w:firstLine="720"/>
        <w:jc w:val="both"/>
        <w:rPr>
          <w:rFonts w:ascii="David" w:eastAsia="Calibri" w:hAnsi="David"/>
          <w:b/>
          <w:bCs/>
          <w:rtl/>
        </w:rPr>
      </w:pPr>
      <w:r w:rsidRPr="008C20C5">
        <w:rPr>
          <w:rFonts w:ascii="David" w:eastAsia="Calibri" w:hAnsi="David"/>
          <w:b/>
          <w:bCs/>
          <w:rtl/>
        </w:rPr>
        <w:t>הבקשה לצירוף ראיות</w:t>
      </w:r>
    </w:p>
    <w:p w:rsidR="005D2DA5" w:rsidRPr="00E144FB" w:rsidRDefault="005D2DA5" w:rsidP="0047417A">
      <w:pPr>
        <w:pStyle w:val="ad"/>
        <w:numPr>
          <w:ilvl w:val="0"/>
          <w:numId w:val="1"/>
        </w:numPr>
        <w:autoSpaceDE w:val="0"/>
        <w:autoSpaceDN w:val="0"/>
        <w:adjustRightInd w:val="0"/>
        <w:spacing w:after="120" w:line="360" w:lineRule="auto"/>
        <w:contextualSpacing w:val="0"/>
        <w:jc w:val="both"/>
        <w:rPr>
          <w:rFonts w:ascii="David" w:eastAsia="Calibri" w:hAnsi="David"/>
          <w:rtl/>
        </w:rPr>
      </w:pPr>
      <w:r w:rsidRPr="00E144FB">
        <w:rPr>
          <w:rFonts w:ascii="David" w:eastAsia="Calibri" w:hAnsi="David" w:hint="cs"/>
          <w:rtl/>
        </w:rPr>
        <w:t xml:space="preserve">המערער מבקש לצרף ראיות לערעור – תמליל שיחה שנערכה ימים ספורים לפני ההוכחות בינו לבין מומחית מטעמו (גב' גל סלע), בה התבקשה המומחית לצרף לחוות דעתה או להביא לדיון את המסרונים שמהם ניתן להסיק שהמנוחה חשה עצמה מול פני המוות, המומחית הסכימה אך לא הביאה אותם לדיון. לטענת המערער מדובר בראיה רלוונטית שאי הגשתה תגרום לו עיוות דין. המשיב </w:t>
      </w:r>
      <w:r w:rsidRPr="00E144FB">
        <w:rPr>
          <w:rFonts w:ascii="David" w:eastAsia="Calibri" w:hAnsi="David" w:hint="cs"/>
          <w:rtl/>
        </w:rPr>
        <w:lastRenderedPageBreak/>
        <w:t>מתנגד לטענתו, שכן אין בראיות כדי להשפיע על תוצאות הערעור, אין בהם כדי למנוע עיוות דין והן אינן רלוונטיות כלל לחוות הדעת שהרי גם המומחית לא התייחסה אליהן בחוות דעתה.</w:t>
      </w:r>
    </w:p>
    <w:p w:rsidR="005D2DA5" w:rsidRPr="000B3F51" w:rsidRDefault="005D2DA5" w:rsidP="004B10EC">
      <w:pPr>
        <w:pStyle w:val="ad"/>
        <w:numPr>
          <w:ilvl w:val="0"/>
          <w:numId w:val="1"/>
        </w:numPr>
        <w:autoSpaceDE w:val="0"/>
        <w:autoSpaceDN w:val="0"/>
        <w:adjustRightInd w:val="0"/>
        <w:spacing w:after="120" w:line="360" w:lineRule="auto"/>
        <w:contextualSpacing w:val="0"/>
        <w:jc w:val="both"/>
        <w:rPr>
          <w:rFonts w:ascii="David" w:eastAsia="Calibri" w:hAnsi="David"/>
          <w:rtl/>
        </w:rPr>
      </w:pPr>
      <w:r w:rsidRPr="000B3F51">
        <w:rPr>
          <w:rFonts w:ascii="David" w:eastAsia="Calibri" w:hAnsi="David" w:hint="cs"/>
          <w:rtl/>
        </w:rPr>
        <w:t xml:space="preserve">בחנו את טענות הצדדים והגענו למסקנה כי אין להתיר את צירוף הראיות </w:t>
      </w:r>
      <w:r w:rsidRPr="000B3F51">
        <w:rPr>
          <w:rFonts w:ascii="David" w:eastAsia="Calibri" w:hAnsi="David"/>
          <w:rtl/>
        </w:rPr>
        <w:t>–</w:t>
      </w:r>
      <w:r w:rsidRPr="000B3F51">
        <w:rPr>
          <w:rFonts w:ascii="David" w:eastAsia="Calibri" w:hAnsi="David" w:hint="cs"/>
          <w:rtl/>
        </w:rPr>
        <w:t xml:space="preserve"> לא את התמליל ולא את המסרונים. הבקשה אינה עומדת בהוראות תקנה 144 לתקנות סדר הדין האזרחי, תשע"ט – 2018. </w:t>
      </w:r>
    </w:p>
    <w:p w:rsidR="005D2DA5" w:rsidRPr="00E144FB" w:rsidRDefault="00B57C11" w:rsidP="00B57C11">
      <w:pPr>
        <w:pStyle w:val="ad"/>
        <w:numPr>
          <w:ilvl w:val="0"/>
          <w:numId w:val="1"/>
        </w:numPr>
        <w:autoSpaceDE w:val="0"/>
        <w:autoSpaceDN w:val="0"/>
        <w:adjustRightInd w:val="0"/>
        <w:spacing w:after="120" w:line="360" w:lineRule="auto"/>
        <w:contextualSpacing w:val="0"/>
        <w:jc w:val="both"/>
        <w:rPr>
          <w:rFonts w:ascii="David" w:eastAsia="Calibri" w:hAnsi="David"/>
          <w:rtl/>
        </w:rPr>
      </w:pPr>
      <w:r>
        <w:rPr>
          <w:rFonts w:ascii="David" w:eastAsia="Calibri" w:hAnsi="David" w:hint="cs"/>
          <w:rtl/>
        </w:rPr>
        <w:t xml:space="preserve">ביחס לתנאי הראשון </w:t>
      </w:r>
      <w:r>
        <w:rPr>
          <w:rFonts w:ascii="David" w:eastAsia="Calibri" w:hAnsi="David"/>
          <w:rtl/>
        </w:rPr>
        <w:t>–</w:t>
      </w:r>
      <w:r>
        <w:rPr>
          <w:rFonts w:ascii="David" w:eastAsia="Calibri" w:hAnsi="David" w:hint="cs"/>
          <w:rtl/>
        </w:rPr>
        <w:t xml:space="preserve"> </w:t>
      </w:r>
      <w:r w:rsidR="005D2DA5" w:rsidRPr="00E144FB">
        <w:rPr>
          <w:rFonts w:ascii="David" w:eastAsia="Calibri" w:hAnsi="David" w:hint="cs"/>
          <w:rtl/>
        </w:rPr>
        <w:t>"</w:t>
      </w:r>
      <w:r w:rsidR="005D2DA5" w:rsidRPr="00E144FB">
        <w:rPr>
          <w:rFonts w:ascii="David" w:eastAsia="Calibri" w:hAnsi="David" w:hint="cs"/>
          <w:b/>
          <w:bCs/>
          <w:rtl/>
        </w:rPr>
        <w:t>לא ניתן לאתר את הראיה בשקידה סבירה ולהגישה בערכאה הראשונה במועד המתאים לכך</w:t>
      </w:r>
      <w:r w:rsidR="005D2DA5" w:rsidRPr="00E144FB">
        <w:rPr>
          <w:rFonts w:ascii="David" w:eastAsia="Calibri" w:hAnsi="David" w:hint="cs"/>
          <w:rtl/>
        </w:rPr>
        <w:t xml:space="preserve">" </w:t>
      </w:r>
      <w:r w:rsidR="005D2DA5" w:rsidRPr="00E144FB">
        <w:rPr>
          <w:rFonts w:ascii="David" w:eastAsia="Calibri" w:hAnsi="David"/>
          <w:rtl/>
        </w:rPr>
        <w:t>–</w:t>
      </w:r>
      <w:r w:rsidR="005D2DA5" w:rsidRPr="00E144FB">
        <w:rPr>
          <w:rFonts w:ascii="David" w:eastAsia="Calibri" w:hAnsi="David" w:hint="cs"/>
          <w:rtl/>
        </w:rPr>
        <w:t xml:space="preserve"> התנאי לא מתקיים, שהרי המסרונים היו בידי המערער והוא זה שהעבירם למומחית. המומחית בחרה שלא לצרף את המסרונים לחוות דעתה ואין המסרונים חלק מחוות דעתה. יתרה מזאת, המערער צירף לתצהירו צילום תוכן מסרונים בינו לבין המנוחה וכן צילום ממסך הטלפון מיום 30.11.2021. מכאן שלא הייתה כל מניעה מהמערער לצרף את אותם מסרונים שהעביר למומחית ואם לא די בכך, נציין כי המערער ביקש מבית משפט קמא לצרף דיסק </w:t>
      </w:r>
      <w:r w:rsidR="005D2DA5" w:rsidRPr="00E144FB">
        <w:rPr>
          <w:rFonts w:ascii="David" w:eastAsia="Calibri" w:hAnsi="David" w:hint="cs"/>
        </w:rPr>
        <w:t>DVD</w:t>
      </w:r>
      <w:r w:rsidR="005D2DA5" w:rsidRPr="00E144FB">
        <w:rPr>
          <w:rFonts w:ascii="David" w:eastAsia="Calibri" w:hAnsi="David" w:hint="cs"/>
          <w:rtl/>
        </w:rPr>
        <w:t xml:space="preserve"> ובו הקלטות ומסרונים ובית משפט קמא קבע כי על המערער להמציא לידי המשיב העתק הדיסק לרבות פירוט מה הוא כולל ומה הרלוונטיות להליך הנוכחי (ראו ההחלטה מיום 12.06.2022). מכאן, שאין מדובר בראיה חדשה או ראיה שלא הייתה בידי המערער ולא הייתה לו האפשרות להגישה לערכאה המבררת. </w:t>
      </w:r>
    </w:p>
    <w:p w:rsidR="005D2DA5" w:rsidRPr="00E144FB" w:rsidRDefault="005D2DA5" w:rsidP="00C0157B">
      <w:pPr>
        <w:pStyle w:val="ad"/>
        <w:numPr>
          <w:ilvl w:val="0"/>
          <w:numId w:val="1"/>
        </w:numPr>
        <w:autoSpaceDE w:val="0"/>
        <w:autoSpaceDN w:val="0"/>
        <w:adjustRightInd w:val="0"/>
        <w:spacing w:after="120" w:line="360" w:lineRule="auto"/>
        <w:contextualSpacing w:val="0"/>
        <w:jc w:val="both"/>
        <w:rPr>
          <w:rFonts w:ascii="David" w:eastAsia="Calibri" w:hAnsi="David"/>
          <w:u w:val="single"/>
          <w:rtl/>
        </w:rPr>
      </w:pPr>
      <w:r w:rsidRPr="00E144FB">
        <w:rPr>
          <w:rFonts w:ascii="David" w:eastAsia="Calibri" w:hAnsi="David" w:hint="cs"/>
          <w:rtl/>
        </w:rPr>
        <w:t xml:space="preserve">ביחס לתנאי השני, </w:t>
      </w:r>
      <w:r w:rsidRPr="00E144FB">
        <w:rPr>
          <w:rFonts w:ascii="David" w:eastAsia="Calibri" w:hAnsi="David" w:hint="cs"/>
          <w:b/>
          <w:bCs/>
          <w:rtl/>
        </w:rPr>
        <w:t>הגשת הראיה דרושה כדי למנוע עיוות דין</w:t>
      </w:r>
      <w:r w:rsidRPr="00E144FB">
        <w:rPr>
          <w:rFonts w:ascii="David" w:eastAsia="Calibri" w:hAnsi="David" w:hint="cs"/>
          <w:rtl/>
        </w:rPr>
        <w:t xml:space="preserve"> </w:t>
      </w:r>
      <w:r w:rsidRPr="00E144FB">
        <w:rPr>
          <w:rFonts w:ascii="David" w:eastAsia="Calibri" w:hAnsi="David"/>
          <w:rtl/>
        </w:rPr>
        <w:t>–</w:t>
      </w:r>
      <w:r w:rsidRPr="00E144FB">
        <w:rPr>
          <w:rFonts w:ascii="David" w:eastAsia="Calibri" w:hAnsi="David" w:hint="cs"/>
          <w:rtl/>
        </w:rPr>
        <w:t xml:space="preserve"> גם בו לא עומד המערער. המערער מבקש להביא אסופת מסרונים בינו לבין המנוחה מיום 05.12.2021 ועד ליום 08.12.2021. בית משפט קמא בחן מארג של ראיות, בין השאר תיעודים רפואיים (מיום 11.02.2022 ומיום 06.02.2022), מעקב סוציאלי של המנוחה </w:t>
      </w:r>
      <w:r w:rsidRPr="00E144FB">
        <w:rPr>
          <w:rFonts w:ascii="David" w:eastAsia="Calibri" w:hAnsi="David"/>
          <w:rtl/>
        </w:rPr>
        <w:t>(</w:t>
      </w:r>
      <w:r w:rsidRPr="00E144FB">
        <w:rPr>
          <w:rFonts w:ascii="David" w:eastAsia="Calibri" w:hAnsi="David" w:hint="eastAsia"/>
          <w:rtl/>
        </w:rPr>
        <w:t>מדצמבר</w:t>
      </w:r>
      <w:r w:rsidRPr="00E144FB">
        <w:rPr>
          <w:rFonts w:ascii="David" w:eastAsia="Calibri" w:hAnsi="David"/>
          <w:rtl/>
        </w:rPr>
        <w:t xml:space="preserve"> 2021 </w:t>
      </w:r>
      <w:r w:rsidRPr="00E144FB">
        <w:rPr>
          <w:rFonts w:ascii="David" w:eastAsia="Calibri" w:hAnsi="David" w:hint="eastAsia"/>
          <w:rtl/>
        </w:rPr>
        <w:t>ועד</w:t>
      </w:r>
      <w:r w:rsidRPr="00E144FB">
        <w:rPr>
          <w:rFonts w:ascii="David" w:eastAsia="Calibri" w:hAnsi="David"/>
          <w:rtl/>
        </w:rPr>
        <w:t xml:space="preserve"> </w:t>
      </w:r>
      <w:r w:rsidRPr="00E144FB">
        <w:rPr>
          <w:rFonts w:ascii="David" w:eastAsia="Calibri" w:hAnsi="David" w:hint="eastAsia"/>
          <w:rtl/>
        </w:rPr>
        <w:t>פברואר</w:t>
      </w:r>
      <w:r w:rsidRPr="00E144FB">
        <w:rPr>
          <w:rFonts w:ascii="David" w:eastAsia="Calibri" w:hAnsi="David"/>
          <w:rtl/>
        </w:rPr>
        <w:t xml:space="preserve"> 2022)</w:t>
      </w:r>
      <w:r w:rsidRPr="00E144FB">
        <w:rPr>
          <w:rFonts w:ascii="David" w:eastAsia="Calibri" w:hAnsi="David" w:hint="cs"/>
          <w:rtl/>
        </w:rPr>
        <w:t xml:space="preserve"> וראיות נוספות. נאמר כי אין מדובר ב"ראיית זהב"</w:t>
      </w:r>
      <w:r w:rsidRPr="00E144FB">
        <w:rPr>
          <w:rFonts w:ascii="David" w:eastAsia="Calibri" w:hAnsi="David"/>
          <w:rtl/>
        </w:rPr>
        <w:t xml:space="preserve"> </w:t>
      </w:r>
      <w:r w:rsidRPr="00E144FB">
        <w:rPr>
          <w:rFonts w:ascii="David" w:eastAsia="Calibri" w:hAnsi="David" w:hint="cs"/>
          <w:rtl/>
        </w:rPr>
        <w:t>אשר יש בכוחה לשנות את תוצאת פסק הדין קמא.</w:t>
      </w:r>
    </w:p>
    <w:p w:rsidR="005D2DA5" w:rsidRPr="003F0B9F" w:rsidRDefault="005D2DA5" w:rsidP="005D2DA5">
      <w:pPr>
        <w:pStyle w:val="ad"/>
        <w:autoSpaceDE w:val="0"/>
        <w:autoSpaceDN w:val="0"/>
        <w:adjustRightInd w:val="0"/>
        <w:spacing w:after="120" w:line="360" w:lineRule="auto"/>
        <w:contextualSpacing w:val="0"/>
        <w:jc w:val="both"/>
        <w:rPr>
          <w:rFonts w:ascii="David" w:eastAsia="Calibri" w:hAnsi="David"/>
        </w:rPr>
      </w:pPr>
      <w:r w:rsidRPr="00E144FB">
        <w:rPr>
          <w:rFonts w:ascii="David" w:eastAsia="Calibri" w:hAnsi="David" w:hint="cs"/>
          <w:u w:val="single"/>
          <w:rtl/>
        </w:rPr>
        <w:t>מעבר לכל אלה, איננו סבורים כי יש בראיות הנוספות להביא לשינוי בתוצאות הערעור, שהוא התנאי הבסיסי לפי תקנה 144 לתקנות</w:t>
      </w:r>
      <w:r w:rsidRPr="00E144FB">
        <w:rPr>
          <w:rFonts w:ascii="David" w:eastAsia="Calibri" w:hAnsi="David" w:hint="cs"/>
          <w:rtl/>
        </w:rPr>
        <w:t>.</w:t>
      </w:r>
    </w:p>
    <w:p w:rsidR="005D2DA5" w:rsidRDefault="005D2DA5" w:rsidP="005D2DA5">
      <w:pPr>
        <w:pStyle w:val="ad"/>
        <w:autoSpaceDE w:val="0"/>
        <w:autoSpaceDN w:val="0"/>
        <w:adjustRightInd w:val="0"/>
        <w:spacing w:after="120" w:line="360" w:lineRule="auto"/>
        <w:contextualSpacing w:val="0"/>
        <w:jc w:val="both"/>
        <w:rPr>
          <w:rFonts w:ascii="David" w:eastAsia="Calibri" w:hAnsi="David"/>
        </w:rPr>
      </w:pPr>
    </w:p>
    <w:p w:rsidR="005D2DA5" w:rsidRPr="001217F2" w:rsidRDefault="005D2DA5" w:rsidP="005D2DA5">
      <w:pPr>
        <w:autoSpaceDE w:val="0"/>
        <w:autoSpaceDN w:val="0"/>
        <w:adjustRightInd w:val="0"/>
        <w:spacing w:after="120" w:line="360" w:lineRule="auto"/>
        <w:ind w:left="360"/>
        <w:jc w:val="both"/>
        <w:rPr>
          <w:rFonts w:ascii="David" w:eastAsia="Calibri" w:hAnsi="David"/>
          <w:b/>
          <w:bCs/>
          <w:rtl/>
        </w:rPr>
      </w:pPr>
      <w:r w:rsidRPr="001217F2">
        <w:rPr>
          <w:rFonts w:ascii="David" w:eastAsia="Calibri" w:hAnsi="David"/>
          <w:b/>
          <w:bCs/>
          <w:rtl/>
        </w:rPr>
        <w:t xml:space="preserve">הכרעה </w:t>
      </w:r>
    </w:p>
    <w:p w:rsidR="00B6276C" w:rsidRDefault="005D2DA5" w:rsidP="00D86ACA">
      <w:pPr>
        <w:pStyle w:val="ad"/>
        <w:numPr>
          <w:ilvl w:val="0"/>
          <w:numId w:val="1"/>
        </w:numPr>
        <w:spacing w:after="120" w:line="360" w:lineRule="auto"/>
        <w:contextualSpacing w:val="0"/>
        <w:jc w:val="both"/>
        <w:rPr>
          <w:rFonts w:ascii="David" w:eastAsia="Calibri" w:hAnsi="David"/>
        </w:rPr>
      </w:pPr>
      <w:r w:rsidRPr="00E144FB">
        <w:rPr>
          <w:rFonts w:ascii="David" w:hAnsi="David" w:hint="cs"/>
          <w:rtl/>
        </w:rPr>
        <w:t>בחנו את טענות המערער בכתב ובע"פ</w:t>
      </w:r>
      <w:r w:rsidRPr="00E144FB">
        <w:rPr>
          <w:rFonts w:ascii="David" w:hAnsi="David" w:hint="cs"/>
          <w:b/>
          <w:bCs/>
          <w:rtl/>
        </w:rPr>
        <w:t xml:space="preserve"> </w:t>
      </w:r>
      <w:r w:rsidRPr="00E144FB">
        <w:rPr>
          <w:rFonts w:ascii="David" w:hAnsi="David" w:hint="cs"/>
          <w:rtl/>
        </w:rPr>
        <w:t>ומצאנו כי לא נוכל לקבלן. מסקנתנו היא כי לא נפלה כל טעות, עובדתית או משפטית, בפסק דינו המפורט והמנומק של בית משפט קמא.</w:t>
      </w:r>
      <w:r w:rsidRPr="00E144FB">
        <w:rPr>
          <w:rFonts w:ascii="David" w:eastAsia="Calibri" w:hAnsi="David" w:hint="cs"/>
          <w:rtl/>
        </w:rPr>
        <w:t xml:space="preserve"> בית משפט קמא בחן אחת לאחת את כל טענות המערער, ניתח את המסד הראייתי הרחב שעמד בפניו ואת העדויות, הן של הצדדים והן של העדים מטעמם, ומסקנתו לפיה לא התקיימו תנאי היסוד הנדרשים לצורך קיום צוואת שכיב מרע היא מסקנה המתיישבת עם הוראות החוק והפסיקה וכן עם הראיות הקונקרטיות בתיק. </w:t>
      </w:r>
    </w:p>
    <w:p w:rsidR="005D2DA5" w:rsidRPr="00B6276C" w:rsidRDefault="00B6276C" w:rsidP="00B6276C">
      <w:pPr>
        <w:pStyle w:val="ad"/>
        <w:spacing w:after="120" w:line="360" w:lineRule="auto"/>
        <w:contextualSpacing w:val="0"/>
        <w:jc w:val="both"/>
        <w:rPr>
          <w:rFonts w:ascii="David" w:eastAsia="Calibri" w:hAnsi="David"/>
          <w:b/>
          <w:bCs/>
        </w:rPr>
      </w:pPr>
      <w:r w:rsidRPr="00B6276C">
        <w:rPr>
          <w:rFonts w:ascii="David" w:eastAsia="Calibri" w:hAnsi="David" w:hint="cs"/>
          <w:b/>
          <w:bCs/>
          <w:rtl/>
        </w:rPr>
        <w:t xml:space="preserve">משכך </w:t>
      </w:r>
      <w:r w:rsidR="005D2DA5" w:rsidRPr="00B6276C">
        <w:rPr>
          <w:rFonts w:ascii="David" w:eastAsia="Calibri" w:hAnsi="David" w:hint="cs"/>
          <w:b/>
          <w:bCs/>
          <w:rtl/>
        </w:rPr>
        <w:t>אנו בדעה כי דין הערעור להידחות</w:t>
      </w:r>
      <w:r w:rsidRPr="00B6276C">
        <w:rPr>
          <w:rFonts w:ascii="David" w:eastAsia="Calibri" w:hAnsi="David" w:hint="cs"/>
          <w:b/>
          <w:bCs/>
          <w:rtl/>
        </w:rPr>
        <w:t xml:space="preserve"> מכוחה של תקנה 148(ב) לתקנות סדר הדין האזרחי, התשע"ט-2018. </w:t>
      </w:r>
    </w:p>
    <w:p w:rsidR="005D2DA5" w:rsidRPr="00E144FB" w:rsidRDefault="005D2DA5" w:rsidP="00A64BB0">
      <w:pPr>
        <w:pStyle w:val="ad"/>
        <w:numPr>
          <w:ilvl w:val="0"/>
          <w:numId w:val="1"/>
        </w:numPr>
        <w:autoSpaceDE w:val="0"/>
        <w:autoSpaceDN w:val="0"/>
        <w:adjustRightInd w:val="0"/>
        <w:spacing w:after="120" w:line="360" w:lineRule="auto"/>
        <w:contextualSpacing w:val="0"/>
        <w:jc w:val="both"/>
        <w:rPr>
          <w:rFonts w:ascii="David" w:eastAsia="Calibri" w:hAnsi="David"/>
          <w:rtl/>
        </w:rPr>
      </w:pPr>
      <w:r w:rsidRPr="00E144FB">
        <w:rPr>
          <w:rFonts w:ascii="David" w:eastAsia="Calibri" w:hAnsi="David" w:hint="cs"/>
          <w:rtl/>
        </w:rPr>
        <w:t xml:space="preserve">למעלה מן הצורך, נציין כי בערעורו טען המערער שבית משפט קמא שגה בעובדות בסיסיות, כך למשל משקבע בית משפט קמא בפסקה 67 לפסק דינו קמא כי הצוואה מיום 17.12.2021 לא הוקלטה בעוד </w:t>
      </w:r>
      <w:r w:rsidRPr="00E144FB">
        <w:rPr>
          <w:rFonts w:ascii="David" w:eastAsia="Calibri" w:hAnsi="David" w:hint="cs"/>
          <w:rtl/>
        </w:rPr>
        <w:lastRenderedPageBreak/>
        <w:t>שבית משפט קמא שמע את הקלטת הצוואה (עמודים 18-19 לפרוטוקול מיום 04.05.2023), כך למשל משהתעלם בסעיף 16 מזיכרון הדברים מיום 17.12.2021. על אף שאין זו דרכה של ערכאת הערעור להתערב בקביעות עובדתיות, בחנו במהלך הדיון את עניין הקלטת הצוואה ומצאנו כי הצוואה מיום 17.12.2021 הוקלטה ובית המשפט אכן שמע אותה, אך הצוואה מיום 24.01.2022 לא הוקלטה ומטבע הדברים בית משפט קמא לא שמע אותה. בית משפט קמא התייחס לעניין ההקלטות שהמערער נהג, כדרך שגרה, להקליט את המנוחה וכן אחרים (פסקאות 45 ו-67 לפסק הדין קמא). עוד נציין כי בפסקה 16 לפסק הדין קמא ציין בית משפט שלושה זכרונות דברים וכן זכרון דברים מיום 17.12.2021, ומשכך לא הצלחנו להבין את טרוניתו של המערער בעניין זה.</w:t>
      </w:r>
    </w:p>
    <w:p w:rsidR="005D2DA5" w:rsidRPr="00E144FB" w:rsidRDefault="005D2DA5" w:rsidP="00250539">
      <w:pPr>
        <w:pStyle w:val="ad"/>
        <w:numPr>
          <w:ilvl w:val="0"/>
          <w:numId w:val="1"/>
        </w:numPr>
        <w:autoSpaceDE w:val="0"/>
        <w:autoSpaceDN w:val="0"/>
        <w:adjustRightInd w:val="0"/>
        <w:spacing w:after="120" w:line="360" w:lineRule="auto"/>
        <w:contextualSpacing w:val="0"/>
        <w:jc w:val="both"/>
        <w:rPr>
          <w:rFonts w:ascii="David" w:eastAsia="Calibri" w:hAnsi="David"/>
          <w:rtl/>
        </w:rPr>
      </w:pPr>
      <w:r w:rsidRPr="00E144FB">
        <w:rPr>
          <w:rFonts w:ascii="David" w:eastAsia="Calibri" w:hAnsi="David" w:hint="cs"/>
          <w:rtl/>
        </w:rPr>
        <w:t>בחנו אף את טענות המערער כי שגה בית משפט קמא באשר למצבה הרפואי של המנוחה אשר הייתה סיעודית, סבלה מפצעי לחץ וכן את הדיווחים הרפואיים, ומצאנו כי בית משפט שמא היה ער למצבה הרפואי ולא בכדי ציין כי "</w:t>
      </w:r>
      <w:r w:rsidRPr="00E144FB">
        <w:rPr>
          <w:rFonts w:ascii="David" w:eastAsia="Calibri" w:hAnsi="David" w:hint="cs"/>
          <w:b/>
          <w:bCs/>
          <w:rtl/>
        </w:rPr>
        <w:t>מ</w:t>
      </w:r>
      <w:r w:rsidRPr="00E144FB">
        <w:rPr>
          <w:rFonts w:ascii="David" w:hAnsi="David"/>
          <w:b/>
          <w:bCs/>
          <w:rtl/>
        </w:rPr>
        <w:t>החומר המצוי בתיק עולה כי המנוחה היתה חולה פרק זמן ממושך, ידעה מהי צוואה, ובכל זאת בחרה שלא לערוך צוואה</w:t>
      </w:r>
      <w:r w:rsidRPr="00E144FB">
        <w:rPr>
          <w:rFonts w:ascii="David" w:hAnsi="David"/>
          <w:rtl/>
        </w:rPr>
        <w:t>" (פסקה</w:t>
      </w:r>
      <w:r w:rsidRPr="00E144FB">
        <w:rPr>
          <w:rFonts w:ascii="David" w:hAnsi="David" w:hint="cs"/>
          <w:rtl/>
        </w:rPr>
        <w:t xml:space="preserve"> 15 לפסק הדין קמא</w:t>
      </w:r>
      <w:r w:rsidRPr="00E144FB">
        <w:rPr>
          <w:rFonts w:ascii="David" w:hAnsi="David"/>
          <w:rtl/>
        </w:rPr>
        <w:t>)</w:t>
      </w:r>
      <w:r w:rsidRPr="00E144FB">
        <w:rPr>
          <w:rFonts w:ascii="David" w:hAnsi="David" w:hint="cs"/>
          <w:rtl/>
        </w:rPr>
        <w:t xml:space="preserve">. המערער הפנה לת"ע 36776-06-18 </w:t>
      </w:r>
      <w:r w:rsidRPr="00E144FB">
        <w:rPr>
          <w:rFonts w:ascii="David" w:hAnsi="David" w:hint="cs"/>
          <w:b/>
          <w:bCs/>
          <w:rtl/>
        </w:rPr>
        <w:t>ש' ב' נ' האפוטרופוס הכללי במחוז תל אביב ואח'</w:t>
      </w:r>
      <w:r w:rsidRPr="00E144FB">
        <w:rPr>
          <w:rFonts w:ascii="David" w:hAnsi="David" w:hint="cs"/>
          <w:rtl/>
        </w:rPr>
        <w:t xml:space="preserve"> וחזר על כך בטיעוניו בכתב. אלא שפסק דין זה קובע את שקבע בית משפט קמא, היינו דרישת "</w:t>
      </w:r>
      <w:r w:rsidRPr="00E144FB">
        <w:rPr>
          <w:rFonts w:ascii="David" w:hAnsi="David" w:hint="cs"/>
          <w:b/>
          <w:bCs/>
          <w:rtl/>
        </w:rPr>
        <w:t>שכיב מרע</w:t>
      </w:r>
      <w:r w:rsidRPr="00E144FB">
        <w:rPr>
          <w:rFonts w:ascii="David" w:hAnsi="David" w:hint="cs"/>
          <w:rtl/>
        </w:rPr>
        <w:t>" או היות המצווה במצב "</w:t>
      </w:r>
      <w:r w:rsidRPr="00E144FB">
        <w:rPr>
          <w:rFonts w:ascii="David" w:hAnsi="David" w:hint="cs"/>
          <w:b/>
          <w:bCs/>
          <w:rtl/>
        </w:rPr>
        <w:t>בו רואה עצמו מול פני המוות</w:t>
      </w:r>
      <w:r w:rsidRPr="00E144FB">
        <w:rPr>
          <w:rFonts w:ascii="David" w:hAnsi="David" w:hint="cs"/>
          <w:rtl/>
        </w:rPr>
        <w:t xml:space="preserve">" מהווה דרישת יסוד, כך שבמידה ותנאי זה לא הוכח באופן ניכר, אין בפנינו כלל צוואת שכיב מרע. אדם חולה אפילו במחלה קשה, אינו בהכרח אדם הנמצא במצב של "שכיב מרע". המחוקק ביקש לייחד צוואת "שכיב מרע" רק למי שנמצא במצבים אלו, בכדי לא להחיל הוראה זו על אנשים שיכולים לעשות צוואה ואחת הדרכים האחרות המוכרות בחוק הירושה. מהראיות שהוצגו בפני בית משפט קמא ומקביעותיו, עולה כי המערער לא עמד בנטל הוכחה זה. לפיכך לא נפלה כל שגגה במסקנתו של בית משפט קמא, כי המערער לא הצליח להרים את הנטל המוטל עליו בהתאם להוראת סעיף 23 לחוק הירושה.  </w:t>
      </w:r>
    </w:p>
    <w:p w:rsidR="005D2DA5" w:rsidRPr="00E144FB" w:rsidRDefault="005D2DA5" w:rsidP="00A01939">
      <w:pPr>
        <w:pStyle w:val="ad"/>
        <w:numPr>
          <w:ilvl w:val="0"/>
          <w:numId w:val="1"/>
        </w:numPr>
        <w:autoSpaceDE w:val="0"/>
        <w:autoSpaceDN w:val="0"/>
        <w:adjustRightInd w:val="0"/>
        <w:spacing w:after="120" w:line="360" w:lineRule="auto"/>
        <w:contextualSpacing w:val="0"/>
        <w:jc w:val="both"/>
        <w:rPr>
          <w:rFonts w:ascii="David" w:hAnsi="David"/>
          <w:rtl/>
        </w:rPr>
      </w:pPr>
      <w:r w:rsidRPr="00E144FB">
        <w:rPr>
          <w:rFonts w:ascii="David" w:hAnsi="David" w:hint="cs"/>
          <w:b/>
          <w:bCs/>
          <w:rtl/>
        </w:rPr>
        <w:t>לאור כל זאת אנו מורים על דחיית הערעור</w:t>
      </w:r>
      <w:r w:rsidRPr="00E144FB">
        <w:rPr>
          <w:rFonts w:ascii="David" w:hAnsi="David" w:hint="cs"/>
          <w:rtl/>
        </w:rPr>
        <w:t xml:space="preserve">. </w:t>
      </w:r>
    </w:p>
    <w:p w:rsidR="005D2DA5" w:rsidRPr="00E144FB" w:rsidRDefault="005D2DA5" w:rsidP="00306A66">
      <w:pPr>
        <w:pStyle w:val="ad"/>
        <w:numPr>
          <w:ilvl w:val="0"/>
          <w:numId w:val="1"/>
        </w:numPr>
        <w:autoSpaceDE w:val="0"/>
        <w:autoSpaceDN w:val="0"/>
        <w:adjustRightInd w:val="0"/>
        <w:spacing w:after="120" w:line="360" w:lineRule="auto"/>
        <w:contextualSpacing w:val="0"/>
        <w:jc w:val="both"/>
        <w:rPr>
          <w:rFonts w:ascii="David" w:eastAsia="Calibri" w:hAnsi="David"/>
          <w:rtl/>
        </w:rPr>
      </w:pPr>
      <w:r w:rsidRPr="00E144FB">
        <w:rPr>
          <w:rFonts w:ascii="David" w:hAnsi="David" w:hint="cs"/>
          <w:rtl/>
        </w:rPr>
        <w:t xml:space="preserve">לפני סיום </w:t>
      </w:r>
      <w:r w:rsidR="00B57C11">
        <w:rPr>
          <w:rFonts w:ascii="David" w:hAnsi="David"/>
          <w:rtl/>
        </w:rPr>
        <w:t>–</w:t>
      </w:r>
      <w:r w:rsidRPr="00E144FB">
        <w:rPr>
          <w:rFonts w:ascii="David" w:hAnsi="David" w:hint="cs"/>
          <w:rtl/>
        </w:rPr>
        <w:t xml:space="preserve"> בית משפט קמא ציין כי אין</w:t>
      </w:r>
      <w:r w:rsidRPr="00E144FB">
        <w:rPr>
          <w:rFonts w:ascii="David" w:hAnsi="David"/>
          <w:rtl/>
        </w:rPr>
        <w:t xml:space="preserve"> מחלוקת כי המנוחה הייתה בנתק, מלא או חלקי, לאורך כעשר שנים, מבני משפחתה</w:t>
      </w:r>
      <w:r w:rsidRPr="00E144FB">
        <w:rPr>
          <w:rFonts w:ascii="David" w:hAnsi="David" w:hint="cs"/>
          <w:rtl/>
        </w:rPr>
        <w:t xml:space="preserve"> ו</w:t>
      </w:r>
      <w:r w:rsidRPr="00E144FB">
        <w:rPr>
          <w:rFonts w:ascii="David" w:hAnsi="David"/>
          <w:rtl/>
        </w:rPr>
        <w:t>במקביל הכירה והי</w:t>
      </w:r>
      <w:r w:rsidRPr="00E144FB">
        <w:rPr>
          <w:rFonts w:ascii="David" w:hAnsi="David" w:hint="cs"/>
          <w:rtl/>
        </w:rPr>
        <w:t>י</w:t>
      </w:r>
      <w:r w:rsidRPr="00E144FB">
        <w:rPr>
          <w:rFonts w:ascii="David" w:hAnsi="David"/>
          <w:rtl/>
        </w:rPr>
        <w:t xml:space="preserve">תה בקשר עם </w:t>
      </w:r>
      <w:r w:rsidRPr="00E144FB">
        <w:rPr>
          <w:rFonts w:ascii="David" w:hAnsi="David" w:hint="cs"/>
          <w:rtl/>
        </w:rPr>
        <w:t>המערער</w:t>
      </w:r>
      <w:r w:rsidRPr="00E144FB">
        <w:rPr>
          <w:rFonts w:ascii="David" w:hAnsi="David"/>
          <w:rtl/>
        </w:rPr>
        <w:t xml:space="preserve"> שסייע לה במישורים שונים.</w:t>
      </w:r>
      <w:r w:rsidRPr="00E144FB">
        <w:rPr>
          <w:rFonts w:ascii="David" w:hAnsi="David" w:hint="cs"/>
          <w:rtl/>
        </w:rPr>
        <w:t xml:space="preserve"> (פסקה 3 לפסק הדי</w:t>
      </w:r>
      <w:r w:rsidR="00B57C11">
        <w:rPr>
          <w:rFonts w:ascii="David" w:hAnsi="David" w:hint="cs"/>
          <w:rtl/>
        </w:rPr>
        <w:t>ן קמא), כי אחיה של המנוחה, ד'</w:t>
      </w:r>
      <w:r w:rsidRPr="00E144FB">
        <w:rPr>
          <w:rFonts w:ascii="David" w:hAnsi="David" w:hint="cs"/>
          <w:rtl/>
        </w:rPr>
        <w:t xml:space="preserve">, אינו מתנגד לכך שהמערער הוא אחד מיורשי המנוחה, בתור בן זוגה (פסקה 9 לפסק הדין קמא). בסיום פסק הדין קמא חוזר ומציין בית משפט קמא כי הקשר בין המנוחה לבני משפחתה היה רעוע ביותר. על פניו נראה כי המערער אכן היה קרוב למנוחה, דאג וטיפל בה במסירות עד יומה האחרון וכי התוצאה אליה הגיע מעוררת תחושת אי נוחות מסוימת, אך משלא הוכח כי המנוחה ערכה צוואה כאמור, באחת מהדרכים הקבועות בחוק, כי אז התוצאה הינה  חלוקת עזבונה בין יורשיה בהתאם להוראות הדין (פסקה 70 לפסק הדין קמא). </w:t>
      </w:r>
    </w:p>
    <w:p w:rsidR="005D2DA5" w:rsidRDefault="005D2DA5" w:rsidP="005D2DA5">
      <w:pPr>
        <w:pStyle w:val="ad"/>
        <w:numPr>
          <w:ilvl w:val="0"/>
          <w:numId w:val="1"/>
        </w:numPr>
        <w:autoSpaceDE w:val="0"/>
        <w:autoSpaceDN w:val="0"/>
        <w:adjustRightInd w:val="0"/>
        <w:spacing w:after="120" w:line="360" w:lineRule="auto"/>
        <w:contextualSpacing w:val="0"/>
        <w:jc w:val="both"/>
        <w:rPr>
          <w:rFonts w:ascii="David" w:eastAsia="Calibri" w:hAnsi="David"/>
        </w:rPr>
      </w:pPr>
      <w:r w:rsidRPr="00E144FB">
        <w:rPr>
          <w:rFonts w:ascii="David" w:eastAsia="Calibri" w:hAnsi="David" w:hint="cs"/>
          <w:b/>
          <w:bCs/>
          <w:rtl/>
        </w:rPr>
        <w:t>על כן כאמור אנו מורים על דחיית הערעור</w:t>
      </w:r>
      <w:r w:rsidRPr="00E144FB">
        <w:rPr>
          <w:rFonts w:ascii="David" w:eastAsia="Calibri" w:hAnsi="David" w:hint="cs"/>
          <w:rtl/>
        </w:rPr>
        <w:t>.</w:t>
      </w:r>
    </w:p>
    <w:p w:rsidR="00B6276C" w:rsidRDefault="00B6276C" w:rsidP="00B6276C">
      <w:pPr>
        <w:autoSpaceDE w:val="0"/>
        <w:autoSpaceDN w:val="0"/>
        <w:adjustRightInd w:val="0"/>
        <w:spacing w:after="120" w:line="360" w:lineRule="auto"/>
        <w:jc w:val="both"/>
        <w:rPr>
          <w:rFonts w:ascii="David" w:eastAsia="Calibri" w:hAnsi="David"/>
          <w:rtl/>
        </w:rPr>
      </w:pPr>
    </w:p>
    <w:p w:rsidR="00B6276C" w:rsidRPr="00B6276C" w:rsidRDefault="00B6276C" w:rsidP="00B6276C">
      <w:pPr>
        <w:autoSpaceDE w:val="0"/>
        <w:autoSpaceDN w:val="0"/>
        <w:adjustRightInd w:val="0"/>
        <w:spacing w:after="120" w:line="360" w:lineRule="auto"/>
        <w:jc w:val="both"/>
        <w:rPr>
          <w:rFonts w:ascii="David" w:eastAsia="Calibri" w:hAnsi="David"/>
        </w:rPr>
      </w:pPr>
    </w:p>
    <w:p w:rsidR="00694556" w:rsidRDefault="005D2DA5" w:rsidP="00E144FB">
      <w:pPr>
        <w:pStyle w:val="ad"/>
        <w:autoSpaceDE w:val="0"/>
        <w:autoSpaceDN w:val="0"/>
        <w:adjustRightInd w:val="0"/>
        <w:spacing w:after="120" w:line="360" w:lineRule="auto"/>
        <w:contextualSpacing w:val="0"/>
        <w:jc w:val="both"/>
        <w:rPr>
          <w:rFonts w:ascii="Arial" w:hAnsi="Arial"/>
          <w:noProof w:val="0"/>
          <w:rtl/>
        </w:rPr>
      </w:pPr>
      <w:r w:rsidRPr="00E144FB">
        <w:rPr>
          <w:rFonts w:ascii="David" w:eastAsia="Calibri" w:hAnsi="David" w:hint="cs"/>
          <w:rtl/>
        </w:rPr>
        <w:lastRenderedPageBreak/>
        <w:t>אנו מחייבים את המערער בהוצאות הערעור למשיב</w:t>
      </w:r>
      <w:r w:rsidR="00B6276C">
        <w:rPr>
          <w:rFonts w:ascii="David" w:eastAsia="Calibri" w:hAnsi="David" w:hint="cs"/>
          <w:rtl/>
        </w:rPr>
        <w:t xml:space="preserve"> 1</w:t>
      </w:r>
      <w:r w:rsidRPr="00E144FB">
        <w:rPr>
          <w:rFonts w:ascii="David" w:eastAsia="Calibri" w:hAnsi="David" w:hint="cs"/>
          <w:rtl/>
        </w:rPr>
        <w:t xml:space="preserve"> בסך של  7,500 ₪ אשר ישולמו למשיב</w:t>
      </w:r>
      <w:r w:rsidR="00B6276C">
        <w:rPr>
          <w:rFonts w:ascii="David" w:eastAsia="Calibri" w:hAnsi="David" w:hint="cs"/>
          <w:rtl/>
        </w:rPr>
        <w:t xml:space="preserve"> 1</w:t>
      </w:r>
      <w:r w:rsidRPr="00E144FB">
        <w:rPr>
          <w:rFonts w:ascii="David" w:eastAsia="Calibri" w:hAnsi="David" w:hint="cs"/>
          <w:rtl/>
        </w:rPr>
        <w:t>, באמצעות בא כוחו, מתוך כספי הפיקדון שהופקדו בתיק והיתרה תוחזר למערער.</w:t>
      </w:r>
    </w:p>
    <w:p w:rsidR="00614B28" w:rsidRPr="00C770E3" w:rsidRDefault="00614B28" w:rsidP="00E144FB">
      <w:pPr>
        <w:pStyle w:val="ad"/>
        <w:autoSpaceDE w:val="0"/>
        <w:autoSpaceDN w:val="0"/>
        <w:adjustRightInd w:val="0"/>
        <w:spacing w:after="120" w:line="360" w:lineRule="auto"/>
        <w:contextualSpacing w:val="0"/>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יולי 2024</w:t>
          </w:r>
        </w:sdtContent>
      </w:sdt>
      <w:r w:rsidR="00005C8B">
        <w:rPr>
          <w:rFonts w:ascii="Arial" w:hAnsi="Arial"/>
          <w:noProof w:val="0"/>
          <w:rtl/>
        </w:rPr>
        <w:t>, בהעדר הצדדים.</w:t>
      </w:r>
    </w:p>
    <w:p w:rsidR="00237B27" w:rsidRDefault="00237B27" w:rsidP="00860102">
      <w:pPr>
        <w:spacing w:line="360" w:lineRule="auto"/>
        <w:jc w:val="both"/>
        <w:rPr>
          <w:rFonts w:ascii="Arial" w:hAnsi="Arial"/>
          <w:noProof w:val="0"/>
          <w:rtl/>
        </w:rPr>
      </w:pPr>
    </w:p>
    <w:p w:rsidR="00237B27" w:rsidRDefault="00237B27" w:rsidP="00860102">
      <w:pPr>
        <w:spacing w:line="360" w:lineRule="auto"/>
        <w:jc w:val="both"/>
        <w:rPr>
          <w:rFonts w:ascii="Arial" w:hAnsi="Arial"/>
          <w:noProof w:val="0"/>
          <w:rtl/>
        </w:rPr>
      </w:pPr>
    </w:p>
    <w:p w:rsidR="00237B27" w:rsidRDefault="00237B27" w:rsidP="00860102">
      <w:pPr>
        <w:spacing w:line="360" w:lineRule="auto"/>
        <w:jc w:val="both"/>
        <w:rPr>
          <w:rFonts w:ascii="Arial" w:hAnsi="Arial"/>
          <w:noProof w:val="0"/>
          <w:rtl/>
        </w:rPr>
      </w:pPr>
    </w:p>
    <w:p w:rsidR="00C43648" w:rsidRDefault="00C43648" w:rsidP="00BD6531">
      <w:pPr>
        <w:tabs>
          <w:tab w:val="left" w:pos="2553"/>
        </w:tabs>
        <w:ind w:left="5040"/>
        <w:rPr>
          <w:rtl/>
        </w:rPr>
      </w:pPr>
    </w:p>
    <w:p w:rsidR="00237B27" w:rsidRPr="00EC12BC" w:rsidRDefault="00237B27"/>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237B27" w:rsidRPr="00EC12BC" w:rsidTr="000210FB">
        <w:tc>
          <w:tcPr>
            <w:tcW w:w="2796" w:type="dxa"/>
            <w:tcBorders>
              <w:top w:val="nil"/>
              <w:left w:val="nil"/>
              <w:bottom w:val="single" w:sz="4" w:space="0" w:color="auto"/>
              <w:right w:val="nil"/>
            </w:tcBorders>
            <w:vAlign w:val="bottom"/>
          </w:tcPr>
          <w:p w:rsidR="00237B27" w:rsidRPr="00EC12BC" w:rsidRDefault="00237B27"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237B27" w:rsidRPr="00EC12BC" w:rsidRDefault="00237B27"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237B27" w:rsidRPr="00EC12BC" w:rsidRDefault="00237B27"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237B27" w:rsidRPr="00EC12BC" w:rsidRDefault="00237B27"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237B27" w:rsidRPr="00EC12BC" w:rsidRDefault="00237B27"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237B27" w:rsidRPr="00EC12BC" w:rsidTr="000210FB">
        <w:tc>
          <w:tcPr>
            <w:tcW w:w="2796" w:type="dxa"/>
            <w:tcBorders>
              <w:top w:val="single" w:sz="4" w:space="0" w:color="auto"/>
              <w:left w:val="nil"/>
              <w:bottom w:val="nil"/>
              <w:right w:val="nil"/>
            </w:tcBorders>
          </w:tcPr>
          <w:p w:rsidR="00237B27" w:rsidRDefault="00237B27" w:rsidP="00BB162B">
            <w:pPr>
              <w:jc w:val="center"/>
              <w:rPr>
                <w:b/>
                <w:bCs/>
                <w:rtl/>
              </w:rPr>
            </w:pPr>
            <w:r>
              <w:rPr>
                <w:rFonts w:hint="cs"/>
                <w:b/>
                <w:bCs/>
                <w:rtl/>
              </w:rPr>
              <w:t>ח. שרעבי, שופט</w:t>
            </w:r>
          </w:p>
          <w:p w:rsidR="00237B27" w:rsidRPr="00EC12BC" w:rsidRDefault="00237B27" w:rsidP="00BB162B">
            <w:pPr>
              <w:jc w:val="center"/>
              <w:rPr>
                <w:b/>
                <w:bCs/>
              </w:rPr>
            </w:pPr>
            <w:r>
              <w:rPr>
                <w:rFonts w:hint="cs"/>
                <w:b/>
                <w:bCs/>
                <w:rtl/>
              </w:rPr>
              <w:t>אב"ד</w:t>
            </w:r>
          </w:p>
        </w:tc>
        <w:tc>
          <w:tcPr>
            <w:tcW w:w="354" w:type="dxa"/>
          </w:tcPr>
          <w:p w:rsidR="00237B27" w:rsidRPr="00EC12BC" w:rsidRDefault="00237B27" w:rsidP="00BB162B">
            <w:pPr>
              <w:spacing w:line="360" w:lineRule="auto"/>
              <w:rPr>
                <w:b/>
                <w:bCs/>
                <w:color w:val="FF0000"/>
              </w:rPr>
            </w:pPr>
          </w:p>
        </w:tc>
        <w:tc>
          <w:tcPr>
            <w:tcW w:w="2312" w:type="dxa"/>
            <w:tcBorders>
              <w:top w:val="single" w:sz="4" w:space="0" w:color="auto"/>
              <w:left w:val="nil"/>
              <w:bottom w:val="nil"/>
              <w:right w:val="nil"/>
            </w:tcBorders>
          </w:tcPr>
          <w:p w:rsidR="00237B27" w:rsidRPr="00EC12BC" w:rsidRDefault="00237B27" w:rsidP="00BB162B">
            <w:pPr>
              <w:spacing w:line="360" w:lineRule="auto"/>
              <w:jc w:val="center"/>
              <w:rPr>
                <w:b/>
                <w:bCs/>
              </w:rPr>
            </w:pPr>
            <w:r>
              <w:rPr>
                <w:rFonts w:hint="cs"/>
                <w:b/>
                <w:bCs/>
                <w:rtl/>
              </w:rPr>
              <w:t>א. אלון, שופטת</w:t>
            </w:r>
          </w:p>
        </w:tc>
        <w:tc>
          <w:tcPr>
            <w:tcW w:w="341" w:type="dxa"/>
          </w:tcPr>
          <w:p w:rsidR="00237B27" w:rsidRPr="00EC12BC" w:rsidRDefault="00237B27" w:rsidP="00BB162B">
            <w:pPr>
              <w:spacing w:line="360" w:lineRule="auto"/>
              <w:rPr>
                <w:b/>
                <w:bCs/>
                <w:color w:val="FF0000"/>
              </w:rPr>
            </w:pPr>
          </w:p>
        </w:tc>
        <w:tc>
          <w:tcPr>
            <w:tcW w:w="2503" w:type="dxa"/>
            <w:tcBorders>
              <w:top w:val="single" w:sz="4" w:space="0" w:color="auto"/>
              <w:left w:val="nil"/>
              <w:bottom w:val="nil"/>
              <w:right w:val="nil"/>
            </w:tcBorders>
          </w:tcPr>
          <w:p w:rsidR="00237B27" w:rsidRPr="00EC12BC" w:rsidRDefault="00237B27" w:rsidP="00BB162B">
            <w:pPr>
              <w:spacing w:line="360" w:lineRule="auto"/>
              <w:jc w:val="center"/>
              <w:rPr>
                <w:b/>
                <w:bCs/>
                <w:rtl/>
              </w:rPr>
            </w:pPr>
            <w:r>
              <w:rPr>
                <w:rFonts w:hint="cs"/>
                <w:b/>
                <w:bCs/>
                <w:rtl/>
              </w:rPr>
              <w:t>א. נאמן, שופט</w:t>
            </w:r>
          </w:p>
        </w:tc>
      </w:tr>
    </w:tbl>
    <w:p w:rsidR="00694556" w:rsidRDefault="00BD6531" w:rsidP="00237B27">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614B28">
      <w:headerReference w:type="even" r:id="rId14"/>
      <w:headerReference w:type="default" r:id="rId15"/>
      <w:footerReference w:type="even" r:id="rId16"/>
      <w:footerReference w:type="default" r:id="rId17"/>
      <w:headerReference w:type="first" r:id="rId18"/>
      <w:footerReference w:type="first" r:id="rId19"/>
      <w:pgSz w:w="11907" w:h="16840" w:code="9"/>
      <w:pgMar w:top="1440" w:right="850" w:bottom="1440" w:left="1843"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119" w:rsidRDefault="00956119">
      <w:r>
        <w:separator/>
      </w:r>
    </w:p>
  </w:endnote>
  <w:endnote w:type="continuationSeparator" w:id="0">
    <w:p w:rsidR="00956119" w:rsidRDefault="0095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B9" w:rsidRDefault="00B01A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01AB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01AB9">
      <w:rPr>
        <w:rStyle w:val="ab"/>
        <w:rFonts w:ascii="David" w:hAnsi="David"/>
        <w:rtl/>
      </w:rPr>
      <w:t>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B9" w:rsidRDefault="00B01AB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119" w:rsidRDefault="00956119">
      <w:r>
        <w:separator/>
      </w:r>
    </w:p>
  </w:footnote>
  <w:footnote w:type="continuationSeparator" w:id="0">
    <w:p w:rsidR="00956119" w:rsidRDefault="0095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B9" w:rsidRDefault="00B01A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5D2DA5" w:rsidRDefault="00956119" w:rsidP="00C7285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68495-02-24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72855">
                <w:rPr>
                  <w:b/>
                  <w:bCs/>
                  <w:noProof w:val="0"/>
                  <w:sz w:val="26"/>
                  <w:szCs w:val="26"/>
                  <w:rtl/>
                </w:rPr>
                <w:t>נ</w:t>
              </w:r>
              <w:r w:rsidR="00C72855">
                <w:rPr>
                  <w:rFonts w:hint="cs"/>
                  <w:b/>
                  <w:bCs/>
                  <w:noProof w:val="0"/>
                  <w:sz w:val="26"/>
                  <w:szCs w:val="26"/>
                  <w:rtl/>
                </w:rPr>
                <w:t>'</w:t>
              </w:r>
              <w:r w:rsidR="00C72855">
                <w:rPr>
                  <w:b/>
                  <w:bCs/>
                  <w:noProof w:val="0"/>
                  <w:sz w:val="26"/>
                  <w:szCs w:val="26"/>
                  <w:rtl/>
                </w:rPr>
                <w:t xml:space="preserve"> נ' ק</w:t>
              </w:r>
              <w:r w:rsidR="00C72855">
                <w:rPr>
                  <w:rFonts w:hint="cs"/>
                  <w:b/>
                  <w:bCs/>
                  <w:noProof w:val="0"/>
                  <w:sz w:val="26"/>
                  <w:szCs w:val="26"/>
                  <w:rtl/>
                </w:rPr>
                <w:t>'</w:t>
              </w:r>
              <w:r w:rsidR="00424313">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B9" w:rsidRDefault="00B01A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F54B1"/>
    <w:multiLevelType w:val="hybridMultilevel"/>
    <w:tmpl w:val="0D26C216"/>
    <w:lvl w:ilvl="0" w:tplc="D730041A">
      <w:start w:val="1"/>
      <w:numFmt w:val="decimal"/>
      <w:lvlText w:val="%1."/>
      <w:lvlJc w:val="left"/>
      <w:pPr>
        <w:ind w:left="720" w:hanging="360"/>
      </w:pPr>
      <w:rPr>
        <w:rFonts w:hint="default"/>
        <w:lang w:val="en-US"/>
      </w:rPr>
    </w:lvl>
    <w:lvl w:ilvl="1" w:tplc="B6546DBA" w:tentative="1">
      <w:start w:val="1"/>
      <w:numFmt w:val="lowerLetter"/>
      <w:lvlText w:val="%2."/>
      <w:lvlJc w:val="left"/>
      <w:pPr>
        <w:ind w:left="1440" w:hanging="360"/>
      </w:pPr>
    </w:lvl>
    <w:lvl w:ilvl="2" w:tplc="EDC8A800" w:tentative="1">
      <w:start w:val="1"/>
      <w:numFmt w:val="lowerRoman"/>
      <w:lvlText w:val="%3."/>
      <w:lvlJc w:val="right"/>
      <w:pPr>
        <w:ind w:left="2160" w:hanging="180"/>
      </w:pPr>
    </w:lvl>
    <w:lvl w:ilvl="3" w:tplc="9CA87E58" w:tentative="1">
      <w:start w:val="1"/>
      <w:numFmt w:val="decimal"/>
      <w:lvlText w:val="%4."/>
      <w:lvlJc w:val="left"/>
      <w:pPr>
        <w:ind w:left="2880" w:hanging="360"/>
      </w:pPr>
    </w:lvl>
    <w:lvl w:ilvl="4" w:tplc="96AE2AC2" w:tentative="1">
      <w:start w:val="1"/>
      <w:numFmt w:val="lowerLetter"/>
      <w:lvlText w:val="%5."/>
      <w:lvlJc w:val="left"/>
      <w:pPr>
        <w:ind w:left="3600" w:hanging="360"/>
      </w:pPr>
    </w:lvl>
    <w:lvl w:ilvl="5" w:tplc="996EB702" w:tentative="1">
      <w:start w:val="1"/>
      <w:numFmt w:val="lowerRoman"/>
      <w:lvlText w:val="%6."/>
      <w:lvlJc w:val="right"/>
      <w:pPr>
        <w:ind w:left="4320" w:hanging="180"/>
      </w:pPr>
    </w:lvl>
    <w:lvl w:ilvl="6" w:tplc="6F2A3FDE" w:tentative="1">
      <w:start w:val="1"/>
      <w:numFmt w:val="decimal"/>
      <w:lvlText w:val="%7."/>
      <w:lvlJc w:val="left"/>
      <w:pPr>
        <w:ind w:left="5040" w:hanging="360"/>
      </w:pPr>
    </w:lvl>
    <w:lvl w:ilvl="7" w:tplc="7EC27420" w:tentative="1">
      <w:start w:val="1"/>
      <w:numFmt w:val="lowerLetter"/>
      <w:lvlText w:val="%8."/>
      <w:lvlJc w:val="left"/>
      <w:pPr>
        <w:ind w:left="5760" w:hanging="360"/>
      </w:pPr>
    </w:lvl>
    <w:lvl w:ilvl="8" w:tplc="724E9F4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345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34573&amp;lt;/CaseID&amp;gt;_x000d__x000a_        &amp;lt;CaseMonth&amp;gt;2&amp;lt;/CaseMonth&amp;gt;_x000d__x000a_        &amp;lt;CaseYear&amp;gt;2024&amp;lt;/CaseYear&amp;gt;_x000d__x000a_        &amp;lt;CaseNumber&amp;gt;68495&amp;lt;/CaseNumber&amp;gt;_x000d__x000a_        &amp;lt;NumeratorGroupID&amp;gt;1&amp;lt;/NumeratorGroupID&amp;gt;_x000d__x000a_        &amp;lt;CaseName&amp;gt;נוף נ&amp;#39; קנדלקר ואח&amp;#39;&amp;lt;/CaseName&amp;gt;_x000d__x000a_        &amp;lt;CourtID&amp;gt;13&amp;lt;/CourtID&amp;gt;_x000d__x000a_        &amp;lt;CaseTypeID&amp;gt;63&amp;lt;/CaseTypeID&amp;gt;_x000d__x000a_        &amp;lt;CaseInterestID&amp;gt;10336&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495-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2-29T13:07: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5.7&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34573&amp;lt;/CaseID&amp;gt;_x000d__x000a_        &amp;lt;CaseMonth&amp;gt;2&amp;lt;/CaseMonth&amp;gt;_x000d__x000a_        &amp;lt;CaseYear&amp;gt;2024&amp;lt;/CaseYear&amp;gt;_x000d__x000a_        &amp;lt;CaseNumber&amp;gt;68495&amp;lt;/CaseNumber&amp;gt;_x000d__x000a_        &amp;lt;NumeratorGroupID&amp;gt;1&amp;lt;/NumeratorGroupID&amp;gt;_x000d__x000a_        &amp;lt;CaseName&amp;gt;נוף נ&amp;#39; קנדלקר ואח&amp;#39;&amp;lt;/CaseName&amp;gt;_x000d__x000a_        &amp;lt;CourtID&amp;gt;13&amp;lt;/CourtID&amp;gt;_x000d__x000a_        &amp;lt;CaseTypeID&amp;gt;63&amp;lt;/CaseTypeID&amp;gt;_x000d__x000a_        &amp;lt;CaseInterestID&amp;gt;10336&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495-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02-29T13:07: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5.7&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91898&amp;lt;/DecisionID&amp;gt;_x000d__x000a_        &amp;lt;DecisionName&amp;gt;פסק דין  שניתנה ע&amp;quot;י  חננאל שרעבי&amp;lt;/DecisionName&amp;gt;_x000d__x000a_        &amp;lt;DecisionStatusID&amp;gt;1&amp;lt;/DecisionStatusID&amp;gt;_x000d__x000a_        &amp;lt;DecisionStatusChangeDate&amp;gt;2024-07-16T09:39:00.243+03:00&amp;lt;/DecisionStatusChangeDate&amp;gt;_x000d__x000a_        &amp;lt;DecisionSignatureDate&amp;gt;2024-07-16T09:20:12.253+03:00&amp;lt;/DecisionSignatureDate&amp;gt;_x000d__x000a_        &amp;lt;DecisionSignatureUserID&amp;gt;056479827@GOV.IL&amp;lt;/DecisionSignatureUserID&amp;gt;_x000d__x000a_        &amp;lt;DecisionCreateDate&amp;gt;2024-07-16T09:22:50.927+03:00&amp;lt;/DecisionCreateDate&amp;gt;_x000d__x000a_        &amp;lt;DecisionChangeDate&amp;gt;2024-07-16T09:39:00.25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9366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2891898&amp;lt;/DecisionID&amp;gt;_x000d__x000a_        &amp;lt;CaseID&amp;gt;81034573&amp;lt;/CaseID&amp;gt;_x000d__x000a_        &amp;lt;IsOriginal&amp;gt;true&amp;lt;/IsOriginal&amp;gt;_x000d__x000a_        &amp;lt;IsDeleted&amp;gt;false&amp;lt;/IsDeleted&amp;gt;_x000d__x000a_        &amp;lt;CaseName&amp;gt;נוף נ&amp;#39; קנדלקר ואח&amp;#39;&amp;lt;/CaseName&amp;gt;_x000d__x000a_        &amp;lt;CaseDisplayIdentifier&amp;gt;68495-02-24 עמ&amp;quot;ש&amp;lt;/CaseDisplayIdentifier&amp;gt;_x000d__x000a_      &amp;lt;/dt_DecisionCase&amp;gt;_x000d__x000a_      &amp;lt;dt_DecisionJudgePanel diffgr:id=&amp;quot;dt_DecisionJudgePanel1&amp;quot; msdata:rowOrder=&amp;quot;0&amp;quot;&amp;gt;_x000d__x000a_        &amp;lt;DecisionID&amp;gt;152891898&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891898&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891898&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2891898"/>
    <w:docVar w:name="docID" w:val="448936637"/>
    <w:docVar w:name="judgeUPN" w:val="056479827@GOV.IL"/>
    <w:docVar w:name="NGCS.TemplateCaseInterestID" w:val="10336"/>
    <w:docVar w:name="NGCS.TemplateCaseTypeID" w:val="63"/>
    <w:docVar w:name="NGCS.TemplateCourtID" w:val="13"/>
    <w:docVar w:name="NGCS.TemplateProceedingID" w:val="14"/>
    <w:docVar w:name="noteDocID" w:val="448936637"/>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B3F51"/>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1CBC"/>
    <w:rsid w:val="001D4DBF"/>
    <w:rsid w:val="001E75CA"/>
    <w:rsid w:val="002265FF"/>
    <w:rsid w:val="00237B27"/>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2560"/>
    <w:rsid w:val="00520898"/>
    <w:rsid w:val="00523621"/>
    <w:rsid w:val="00524986"/>
    <w:rsid w:val="005268F6"/>
    <w:rsid w:val="00534284"/>
    <w:rsid w:val="0054140F"/>
    <w:rsid w:val="00547DB7"/>
    <w:rsid w:val="00557717"/>
    <w:rsid w:val="00576A86"/>
    <w:rsid w:val="005D14AE"/>
    <w:rsid w:val="005D2DA5"/>
    <w:rsid w:val="005F4F09"/>
    <w:rsid w:val="00603F73"/>
    <w:rsid w:val="0061431B"/>
    <w:rsid w:val="00614B28"/>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56119"/>
    <w:rsid w:val="009622DF"/>
    <w:rsid w:val="0096493F"/>
    <w:rsid w:val="00967DFF"/>
    <w:rsid w:val="00994341"/>
    <w:rsid w:val="009D1A48"/>
    <w:rsid w:val="009E1CE7"/>
    <w:rsid w:val="009E461A"/>
    <w:rsid w:val="009E4EA5"/>
    <w:rsid w:val="009F164B"/>
    <w:rsid w:val="009F323C"/>
    <w:rsid w:val="00A3392B"/>
    <w:rsid w:val="00A46717"/>
    <w:rsid w:val="00A833C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1AB9"/>
    <w:rsid w:val="00B5356E"/>
    <w:rsid w:val="00B57C11"/>
    <w:rsid w:val="00B6276C"/>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2DC9"/>
    <w:rsid w:val="00C34482"/>
    <w:rsid w:val="00C43648"/>
    <w:rsid w:val="00C50A9F"/>
    <w:rsid w:val="00C642FA"/>
    <w:rsid w:val="00C72855"/>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2553"/>
    <w:rsid w:val="00DE6BF6"/>
    <w:rsid w:val="00E00709"/>
    <w:rsid w:val="00E1068A"/>
    <w:rsid w:val="00E144FB"/>
    <w:rsid w:val="00E25884"/>
    <w:rsid w:val="00E25B55"/>
    <w:rsid w:val="00E31C2B"/>
    <w:rsid w:val="00E5426A"/>
    <w:rsid w:val="00E54642"/>
    <w:rsid w:val="00E80CBE"/>
    <w:rsid w:val="00E9269D"/>
    <w:rsid w:val="00E94CD2"/>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2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FC4770D7BB547A1A4D0C8FE65F2D967"/>
        <w:category>
          <w:name w:val="כללי"/>
          <w:gallery w:val="placeholder"/>
        </w:category>
        <w:types>
          <w:type w:val="bbPlcHdr"/>
        </w:types>
        <w:behaviors>
          <w:behavior w:val="content"/>
        </w:behaviors>
        <w:guid w:val="{EE651EDA-3BB5-4428-8458-FFE3137F9D18}"/>
      </w:docPartPr>
      <w:docPartBody>
        <w:p w:rsidR="009133C7" w:rsidRDefault="00AA7CE3">
          <w:r w:rsidRPr="00D47A1C">
            <w:rPr>
              <w:rStyle w:val="a3"/>
              <w:rtl/>
            </w:rPr>
            <w:t>לחץ כאן להזנת טקסט</w:t>
          </w:r>
          <w:r w:rsidRPr="00D47A1C">
            <w:rPr>
              <w:rStyle w:val="a3"/>
            </w:rPr>
            <w:t>.</w:t>
          </w:r>
        </w:p>
      </w:docPartBody>
    </w:docPart>
    <w:docPart>
      <w:docPartPr>
        <w:name w:val="D4E91649847547108D7F300A7C74040C"/>
        <w:category>
          <w:name w:val="כללי"/>
          <w:gallery w:val="placeholder"/>
        </w:category>
        <w:types>
          <w:type w:val="bbPlcHdr"/>
        </w:types>
        <w:behaviors>
          <w:behavior w:val="content"/>
        </w:behaviors>
        <w:guid w:val="{4DBB18B2-585D-44C3-AECA-D6343FB194BF}"/>
      </w:docPartPr>
      <w:docPartBody>
        <w:p w:rsidR="00345C9D" w:rsidRDefault="006377AB" w:rsidP="006377AB">
          <w:pPr>
            <w:pStyle w:val="E460D38E05664FF79D4EFF282EF8EC9927"/>
          </w:pPr>
          <w:r>
            <w:rPr>
              <w:rFonts w:hint="cs"/>
              <w:rtl/>
            </w:rPr>
            <w:t xml:space="preserve">     </w:t>
          </w:r>
        </w:p>
      </w:docPartBody>
    </w:docPart>
    <w:docPart>
      <w:docPartPr>
        <w:name w:val="C1370D0C985644A8B90574A0011EAB5A"/>
        <w:category>
          <w:name w:val="כללי"/>
          <w:gallery w:val="placeholder"/>
        </w:category>
        <w:types>
          <w:type w:val="bbPlcHdr"/>
        </w:types>
        <w:behaviors>
          <w:behavior w:val="content"/>
        </w:behaviors>
        <w:guid w:val="{56444E8B-3DB3-46B8-9CD2-530F8666DC8C}"/>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16F8642BE8304F09A52CA727E287D1D9"/>
        <w:category>
          <w:name w:val="כללי"/>
          <w:gallery w:val="placeholder"/>
        </w:category>
        <w:types>
          <w:type w:val="bbPlcHdr"/>
        </w:types>
        <w:behaviors>
          <w:behavior w:val="content"/>
        </w:behaviors>
        <w:guid w:val="{CA4C4E1D-2437-4D88-A7A9-EB4E6CC2D80D}"/>
      </w:docPartPr>
      <w:docPartBody>
        <w:p w:rsidR="007E254A" w:rsidRDefault="006377AB" w:rsidP="006377AB">
          <w:pPr>
            <w:pStyle w:val="9DC4FF55E52B4E209349FC40470DD41815"/>
          </w:pPr>
          <w:r w:rsidRPr="00CD608F">
            <w:rPr>
              <w:rFonts w:hint="eastAsia"/>
              <w:b/>
              <w:bCs/>
              <w:sz w:val="26"/>
              <w:szCs w:val="26"/>
              <w:rtl/>
            </w:rPr>
            <w:t>בעניין</w:t>
          </w:r>
          <w:r w:rsidRPr="00CD608F">
            <w:rPr>
              <w:b/>
              <w:bCs/>
              <w:sz w:val="26"/>
              <w:szCs w:val="26"/>
              <w:rtl/>
            </w:rPr>
            <w:t xml:space="preserve"> שם משפחה</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FB3413" w:rsidRDefault="00440C47">
          <w:pPr>
            <w:pStyle w:val="4EA74030CD7B4D7EB6EBFF4CB2A96674"/>
          </w:pPr>
          <w:r>
            <w:rPr>
              <w:b/>
              <w:bCs/>
              <w:rtl/>
            </w:rPr>
            <w:t>מספר זיהוי צד א</w:t>
          </w:r>
        </w:p>
      </w:docPartBody>
    </w:docPart>
    <w:docPart>
      <w:docPartPr>
        <w:name w:val="9AF2D2A2C1CD489A8F53456255244BA5"/>
        <w:category>
          <w:name w:val="כללי"/>
          <w:gallery w:val="placeholder"/>
        </w:category>
        <w:types>
          <w:type w:val="bbPlcHdr"/>
        </w:types>
        <w:behaviors>
          <w:behavior w:val="content"/>
        </w:behaviors>
        <w:guid w:val="{678754D1-02B4-4155-BF6B-860B2DDFF757}"/>
      </w:docPartPr>
      <w:docPartBody>
        <w:p w:rsidR="00FB3413" w:rsidRDefault="00440C47" w:rsidP="00440C47">
          <w:pPr>
            <w:pStyle w:val="9AF2D2A2C1CD489A8F53456255244BA5"/>
          </w:pPr>
          <w:r w:rsidRPr="00CD608F">
            <w:rPr>
              <w:rFonts w:hint="eastAsia"/>
              <w:b/>
              <w:bCs/>
              <w:sz w:val="26"/>
              <w:szCs w:val="26"/>
              <w:rtl/>
            </w:rPr>
            <w:t>בעניין</w:t>
          </w:r>
          <w:r w:rsidRPr="00CD608F">
            <w:rPr>
              <w:b/>
              <w:bCs/>
              <w:sz w:val="26"/>
              <w:szCs w:val="26"/>
              <w:rtl/>
            </w:rPr>
            <w:t xml:space="preserve"> שם משפחה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40C47"/>
    <w:rsid w:val="0048651F"/>
    <w:rsid w:val="005157ED"/>
    <w:rsid w:val="005171E8"/>
    <w:rsid w:val="00556D67"/>
    <w:rsid w:val="006377AB"/>
    <w:rsid w:val="00793995"/>
    <w:rsid w:val="007C6F98"/>
    <w:rsid w:val="007E254A"/>
    <w:rsid w:val="00817811"/>
    <w:rsid w:val="008B4366"/>
    <w:rsid w:val="009133C7"/>
    <w:rsid w:val="009178E4"/>
    <w:rsid w:val="00961B27"/>
    <w:rsid w:val="009A4BEE"/>
    <w:rsid w:val="009C344A"/>
    <w:rsid w:val="00A51CA1"/>
    <w:rsid w:val="00AA7CE3"/>
    <w:rsid w:val="00AD53D7"/>
    <w:rsid w:val="00B50DB2"/>
    <w:rsid w:val="00B91FA3"/>
    <w:rsid w:val="00BE6557"/>
    <w:rsid w:val="00C96C06"/>
    <w:rsid w:val="00CE1DCB"/>
    <w:rsid w:val="00D24521"/>
    <w:rsid w:val="00E31BF6"/>
    <w:rsid w:val="00E81DB1"/>
    <w:rsid w:val="00EB3C24"/>
    <w:rsid w:val="00F00DF8"/>
    <w:rsid w:val="00F04DC1"/>
    <w:rsid w:val="00F678CA"/>
    <w:rsid w:val="00FB3413"/>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C4770D7BB547A1A4D0C8FE65F2D967">
    <w:name w:val="0FC4770D7BB547A1A4D0C8FE65F2D967"/>
    <w:pPr>
      <w:bidi/>
    </w:pPr>
  </w:style>
  <w:style w:type="paragraph" w:customStyle="1" w:styleId="D4E91649847547108D7F300A7C74040C">
    <w:name w:val="D4E91649847547108D7F300A7C74040C"/>
    <w:pPr>
      <w:bidi/>
    </w:pPr>
  </w:style>
  <w:style w:type="paragraph" w:customStyle="1" w:styleId="EFD81402275F4F6FA9392E9986985D02">
    <w:name w:val="EFD81402275F4F6FA9392E9986985D02"/>
    <w:pPr>
      <w:bidi/>
    </w:pPr>
  </w:style>
  <w:style w:type="paragraph" w:customStyle="1" w:styleId="4EA74030CD7B4D7EB6EBFF4CB2A96674">
    <w:name w:val="4EA74030CD7B4D7EB6EBFF4CB2A96674"/>
    <w:pPr>
      <w:bidi/>
    </w:pPr>
  </w:style>
  <w:style w:type="paragraph" w:customStyle="1" w:styleId="C1370D0C985644A8B90574A0011EAB5A">
    <w:name w:val="C1370D0C985644A8B90574A0011EAB5A"/>
    <w:pPr>
      <w:bidi/>
    </w:pPr>
  </w:style>
  <w:style w:type="paragraph" w:customStyle="1" w:styleId="16F8642BE8304F09A52CA727E287D1D9">
    <w:name w:val="16F8642BE8304F09A52CA727E287D1D9"/>
    <w:pPr>
      <w:bidi/>
    </w:pPr>
  </w:style>
  <w:style w:type="paragraph" w:customStyle="1" w:styleId="81F228692A9D4A69A7249A49402BD7C9">
    <w:name w:val="81F228692A9D4A69A7249A49402BD7C9"/>
    <w:pPr>
      <w:bidi/>
    </w:pPr>
  </w:style>
  <w:style w:type="paragraph" w:customStyle="1" w:styleId="F646C6390D8849AF8E3CABB0E0B1BA7B">
    <w:name w:val="F646C6390D8849AF8E3CABB0E0B1BA7B"/>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9AF2D2A2C1CD489A8F53456255244BA5">
    <w:name w:val="9AF2D2A2C1CD489A8F53456255244BA5"/>
    <w:rsid w:val="00440C47"/>
    <w:pPr>
      <w:bidi/>
      <w:spacing w:after="160" w:line="259" w:lineRule="auto"/>
    </w:pPr>
  </w:style>
  <w:style w:type="paragraph" w:customStyle="1" w:styleId="7810CF4A3C234B5994C6573B0685E5D1">
    <w:name w:val="7810CF4A3C234B5994C6573B0685E5D1"/>
    <w:rsid w:val="00440C47"/>
    <w:pPr>
      <w:bidi/>
      <w:spacing w:after="160" w:line="259" w:lineRule="auto"/>
    </w:pPr>
  </w:style>
  <w:style w:type="paragraph" w:customStyle="1" w:styleId="BBB8B72BB08445FCA624B52390011234">
    <w:name w:val="BBB8B72BB08445FCA624B52390011234"/>
    <w:rsid w:val="00440C4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גדלי סולן</FullName>
        <FirstName>גדלי</FirstName>
        <LastName>סולן</LastName>
        <PartyPropertyName/>
        <AuthenticationTypeAndNumber>מ.ר. 32374</AuthenticationTypeAndNumber>
        <RepresentatedOrRepresentativesNames>שמשון קנדלקר</RepresentatedOrRepresentativesNames>
        <RepresentatedOrRepresentativesCount>1</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267046399</CasePartyID>
        <PartyTypeID>2</PartyTypeID>
        <ActivityStatusID>1</ActivityStatusID>
        <PartyAliasID>23</PartyAliasID>
        <PartyAliasName>בא כוח משיבים</PartyAliasName>
        <LegalEntityID>406362</LegalEntityID>
        <CaseLegalEntityID>127970791</CaseLegalEntityID>
        <AuthenticationTypeID>4</AuthenticationTypeID>
        <AuthenticationTypeName>מ.ר.</AuthenticationTypeName>
        <LegalEntityNumber>32374</LegalEntityNumber>
        <IsMainPartyType>true</IsMainPartyType>
        <CaseDisplayIdentifier>68495-02-24</CaseDisplayIdentifier>
        <CaseTypeID>63</CaseTypeID>
        <CaseTypeName>ערעור משפחה (עמ"ש)</CaseTypeName>
        <CaseName>נוף נ' קנדלקר ואח'</CaseName>
        <FullAddress>פל ים 2 חיפה </FullAddress>
        <EmailAddress>solanlaw@gmail.com</EmailAddress>
        <MotionID>0</MotionID>
        <CasePleaID>0</CasePleaID>
        <LinkedCaseID>0</LinkedCaseID>
        <PartyID>2</PartyID>
        <CasePartyCategoryID>2</CasePartyCategoryID>
        <LegalEntityAddressID>422116</LegalEntityAddressID>
        <LegalEntityEmailAddressID>68219637</LegalEntityEmailAddressID>
        <PleaTypeID>6</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אשר נוף</FullName>
        <FirstName>אשר</FirstName>
        <LastName>נוף</LastName>
        <PartyPropertyName/>
        <AuthenticationTypeAndNumber>ת"ז 056791957</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267043161</CasePartyID>
        <PartyTypeID>1</PartyTypeID>
        <ActivityStatusID>1</ActivityStatusID>
        <PartyAliasID>5</PartyAliasID>
        <PartyAliasName>מערער</PartyAliasName>
        <OrdinalNumber>1</OrdinalNumber>
        <LegalEntityID>6198057</LegalEntityID>
        <CaseLegalEntityID>127970127</CaseLegalEntityID>
        <AuthenticationTypeID>1</AuthenticationTypeID>
        <AuthenticationTypeName>ת"ז</AuthenticationTypeName>
        <LegalEntityNumber>056791957</LegalEntityNumber>
        <IsMainPartyType>true</IsMainPartyType>
        <CaseDisplayIdentifier>68495-02-24</CaseDisplayIdentifier>
        <CaseTypeID>63</CaseTypeID>
        <CaseTypeName>ערעור משפחה (עמ"ש)</CaseTypeName>
        <CaseName>נוף נ' קנדלקר ואח'</CaseName>
        <FullAddress>מדרגות שפינוזה 39 חיפה </FullAddress>
        <EmailAddress>AsherNoff@gmail.com</EmailAddress>
        <MotionID>0</MotionID>
        <CasePleaID>0</CasePleaID>
        <FatherName>שמואל</FatherName>
        <LinkedCaseID>0</LinkedCaseID>
        <PartyID>1</PartyID>
        <CasePartyCategoryID>2</CasePartyCategoryID>
        <LegalEntityAddressID>86358065</LegalEntityAddressID>
        <LegalEntityEmailAddressID>68359918</LegalEntityEmailAddressID>
        <PleaTypeID>6</PleaTypeID>
        <GroupPartyAlias>מערערים</GroupPartyAlias>
        <IsConverted>false</IsConverted>
        <LegalEntityRegisteredNameID>463342</LegalEntityRegisteredNameID>
        <LegalEntityNameID>96227671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אשר נוף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שמשון קנדלקר</FullName>
        <FirstName>שמשון</FirstName>
        <LastName>קנדלקר</LastName>
        <PartyPropertyName/>
        <AuthenticationTypeAndNumber>ת"ז 029461761</AuthenticationTypeAndNumber>
        <RepresentatedOrRepresentativesNames>גדלי סולן</RepresentatedOrRepresentativesNames>
        <RepresentatedOrRepresentativesCount>1</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267043162</CasePartyID>
        <PartyTypeID>1</PartyTypeID>
        <ActivityStatusID>1</ActivityStatusID>
        <PartyAliasID>4</PartyAliasID>
        <PartyAliasName>משיב</PartyAliasName>
        <OrdinalNumber>1</OrdinalNumber>
        <LegalEntityID>57367139</LegalEntityID>
        <CaseLegalEntityID>127970128</CaseLegalEntityID>
        <AuthenticationTypeID>1</AuthenticationTypeID>
        <AuthenticationTypeName>ת"ז</AuthenticationTypeName>
        <LegalEntityNumber>029461761</LegalEntityNumber>
        <IsMainPartyType>true</IsMainPartyType>
        <CaseDisplayIdentifier>68495-02-24</CaseDisplayIdentifier>
        <CaseTypeID>63</CaseTypeID>
        <CaseTypeName>ערעור משפחה (עמ"ש)</CaseTypeName>
        <CaseName>נוף נ' קנדלקר ואח'</CaseName>
        <FullAddress>הרב זרביב 21 דירה 6 טירת כרמל 0</FullAddress>
        <MotionID>0</MotionID>
        <CasePleaID>0</CasePleaID>
        <BirthDate>1972-11-26T00:00:00+02:00</BirthDate>
        <FatherName>משה</FatherName>
        <LinkedCaseID>0</LinkedCaseID>
        <PartyID>2</PartyID>
        <CasePartyCategoryID>2</CasePartyCategoryID>
        <LegalEntityAddressID>86358064</LegalEntityAddressID>
        <PleaTypeID>6</PleaTypeID>
        <GroupPartyAlias>משיבים</GroupPartyAlias>
        <IsConverted>false</IsConverted>
        <LegalEntityRegisteredNameID>2045733</LegalEntityRegisteredNameID>
        <LegalEntityNameID>92914661</LegalEntityNameID>
        <RepresentatedNamesOfAssistant/>
        <LegalEntityTypeID>1</LegalEntityTypeID>
        <IsVerdictExists>false</IsVerdictExists>
        <IsAsirAzir>false</IsAsirAzir>
        <MainAndSecSpec/>
        <IsPublicationProhibited>false</IsPublicationProhibited>
        <PublicationProhibitedFullName>שמשון קנדלקר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267043163</CasePartyID>
        <PartyTypeID>1</PartyTypeID>
        <ActivityStatusID>1</ActivityStatusID>
        <PartyAliasID>4</PartyAliasID>
        <PartyAliasName>משיב</PartyAliasName>
        <OrdinalNumber>2</OrdinalNumber>
        <LegalEntityID>15841402</LegalEntityID>
        <CaseLegalEntityID>127970129</CaseLegalEntityID>
        <AuthenticationTypeID>13</AuthenticationTypeID>
        <AuthenticationTypeName>משרדי ממשלה</AuthenticationTypeName>
        <LegalEntityNumber>570000605</LegalEntityNumber>
        <IsMainPartyType>true</IsMainPartyType>
        <CaseDisplayIdentifier>68495-02-24</CaseDisplayIdentifier>
        <CaseTypeID>63</CaseTypeID>
        <CaseTypeName>ערעור משפחה (עמ"ש)</CaseTypeName>
        <CaseName>נוף נ' קנדלקר ואח'</CaseName>
        <FullAddress>פל ים 15 א' חיפה משרד המשפטים</FullAddress>
        <MotionID>0</MotionID>
        <CasePleaID>0</CasePleaID>
        <LinkedCaseID>0</LinkedCaseID>
        <PartyID>2</PartyID>
        <CasePartyCategoryID>2</CasePartyCategoryID>
        <LegalEntityAddressID>73651471</LegalEntityAddressID>
        <PleaTypeID>6</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צפורה קנדלקר ז"ל (המנוח)</FullName>
        <FirstName>צפורה</FirstName>
        <LastName>קנדלקר</LastName>
        <PartyPropertyID>12</PartyPropertyID>
        <PartyPropertyName/>
        <AuthenticationTypeAndNumber>ת"ז 025752346</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267043164</CasePartyID>
        <PartyTypeID>1</PartyTypeID>
        <ActivityStatusID>1</ActivityStatusID>
        <PartyAliasID>4</PartyAliasID>
        <PartyAliasName>משיב</PartyAliasName>
        <OrdinalNumber>3</OrdinalNumber>
        <LegalEntityID>21005551</LegalEntityID>
        <CaseLegalEntityID>127970130</CaseLegalEntityID>
        <AuthenticationTypeID>1</AuthenticationTypeID>
        <AuthenticationTypeName>ת"ז</AuthenticationTypeName>
        <LegalEntityNumber>025752346</LegalEntityNumber>
        <IsMainPartyType>true</IsMainPartyType>
        <CaseDisplayIdentifier>68495-02-24</CaseDisplayIdentifier>
        <CaseTypeID>63</CaseTypeID>
        <CaseTypeName>ערעור משפחה (עמ"ש)</CaseTypeName>
        <CaseName>נוף נ' קנדלקר ואח'</CaseName>
        <FullAddress/>
        <MotionID>0</MotionID>
        <CasePleaID>0</CasePleaID>
        <FatherName>משה</FatherName>
        <LinkedCaseID>0</LinkedCaseID>
        <PartyID>2</PartyID>
        <CasePartyCategoryID>2</CasePartyCategoryID>
        <PleaTypeID>6</PleaTypeID>
        <GroupPartyAlias>משיבים</GroupPartyAlias>
        <IsConverted>false</IsConverted>
        <LegalEntityRegisteredNameID>1791038</LegalEntityRegisteredNameID>
        <LegalEntityNameID>96227461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צפורה קנדלקר ז"ל (המנוח)</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2024-07-16T09:20:12.2542652+03:00</DecisionSignatureDate>
    <OpenCaseDate>2024-02-29T13:07:00+02:00</OpenCaseDate>
    <CaseFeeSum>0.000</CaseFeeSum>
    <ExternalCaseNumber>124506_4</ExternalCaseNumber>
    <DecisionTypeID>2</DecisionTypeID>
    <DecisionSignatureUserName>חננאל שרעבי</DecisionSignatureUserName>
    <DecisionSignatureDateHebrew>2024-07-16T09:20:12.2542652+03:00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נוף נ' קנדלקר ואח'</CaseName>
    <DecisionNumberInCase>10</DecisionNumberInCase>
  </dt_Decision>
  <dt_DecisionCase>
    <DecisionID>0</DecisionID>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גדלי סולן</FullName>
        <FirstName>גדלי</FirstName>
        <LastName>סולן</LastName>
        <PartyPropertyName/>
        <AuthenticationTypeAndNumber>מ.ר. 32374</AuthenticationTypeAndNumber>
        <RepresentatedOrRepresentativesNames>שמשון קנדלקר</RepresentatedOrRepresentativesNames>
        <RepresentatedOrRepresentativesCount>1</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267046399</CasePartyID>
        <PartyTypeID>2</PartyTypeID>
        <ActivityStatusID>1</ActivityStatusID>
        <PartyAliasID>23</PartyAliasID>
        <PartyAliasName>בא כוח משיבים</PartyAliasName>
        <LegalEntityID>406362</LegalEntityID>
        <CaseLegalEntityID>127970791</CaseLegalEntityID>
        <AuthenticationTypeID>4</AuthenticationTypeID>
        <AuthenticationTypeName>מ.ר.</AuthenticationTypeName>
        <LegalEntityNumber>32374</LegalEntityNumber>
        <IsMainPartyType>true</IsMainPartyType>
        <CaseDisplayIdentifier>68495-02-24</CaseDisplayIdentifier>
        <CaseTypeID>63</CaseTypeID>
        <CaseTypeName>ערעור משפחה (עמ"ש)</CaseTypeName>
        <CaseName>נוף נ' קנדלקר ואח'</CaseName>
        <FullAddress>פל ים 2 חיפה </FullAddress>
        <EmailAddress>solanlaw@gmail.com</EmailAddress>
        <MotionID>0</MotionID>
        <CasePleaID>0</CasePleaID>
        <LinkedCaseID>0</LinkedCaseID>
        <PartyID>2</PartyID>
        <CasePartyCategoryID>2</CasePartyCategoryID>
        <LegalEntityAddressID>422116</LegalEntityAddressID>
        <LegalEntityEmailAddressID>68219637</LegalEntityEmailAddressID>
        <PleaTypeID>6</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אשר נוף</FullName>
        <FirstName>אשר</FirstName>
        <LastName>נוף</LastName>
        <PartyPropertyName/>
        <AuthenticationTypeAndNumber>ת"ז 056791957</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267043161</CasePartyID>
        <PartyTypeID>1</PartyTypeID>
        <ActivityStatusID>1</ActivityStatusID>
        <PartyAliasID>5</PartyAliasID>
        <PartyAliasName>מערער</PartyAliasName>
        <OrdinalNumber>1</OrdinalNumber>
        <LegalEntityID>6198057</LegalEntityID>
        <CaseLegalEntityID>127970127</CaseLegalEntityID>
        <AuthenticationTypeID>1</AuthenticationTypeID>
        <AuthenticationTypeName>ת"ז</AuthenticationTypeName>
        <LegalEntityNumber>056791957</LegalEntityNumber>
        <IsMainPartyType>true</IsMainPartyType>
        <CaseDisplayIdentifier>68495-02-24</CaseDisplayIdentifier>
        <CaseTypeID>63</CaseTypeID>
        <CaseTypeName>ערעור משפחה (עמ"ש)</CaseTypeName>
        <CaseName>נוף נ' קנדלקר ואח'</CaseName>
        <FullAddress>מדרגות שפינוזה 39 חיפה </FullAddress>
        <EmailAddress>AsherNoff@gmail.com</EmailAddress>
        <MotionID>0</MotionID>
        <CasePleaID>0</CasePleaID>
        <FatherName>שמואל</FatherName>
        <LinkedCaseID>0</LinkedCaseID>
        <PartyID>1</PartyID>
        <CasePartyCategoryID>2</CasePartyCategoryID>
        <LegalEntityAddressID>86358065</LegalEntityAddressID>
        <LegalEntityEmailAddressID>68359918</LegalEntityEmailAddressID>
        <PleaTypeID>6</PleaTypeID>
        <GroupPartyAlias>מערערים</GroupPartyAlias>
        <IsConverted>false</IsConverted>
        <LegalEntityRegisteredNameID>463342</LegalEntityRegisteredNameID>
        <LegalEntityNameID>96227671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אשר נוף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שמשון קנדלקר</FullName>
        <FirstName>שמשון</FirstName>
        <LastName>קנדלקר</LastName>
        <PartyPropertyName/>
        <AuthenticationTypeAndNumber>ת"ז 029461761</AuthenticationTypeAndNumber>
        <RepresentatedOrRepresentativesNames>גדלי סולן</RepresentatedOrRepresentativesNames>
        <RepresentatedOrRepresentativesCount>1</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267043162</CasePartyID>
        <PartyTypeID>1</PartyTypeID>
        <ActivityStatusID>1</ActivityStatusID>
        <PartyAliasID>4</PartyAliasID>
        <PartyAliasName>משיב</PartyAliasName>
        <OrdinalNumber>1</OrdinalNumber>
        <LegalEntityID>57367139</LegalEntityID>
        <CaseLegalEntityID>127970128</CaseLegalEntityID>
        <AuthenticationTypeID>1</AuthenticationTypeID>
        <AuthenticationTypeName>ת"ז</AuthenticationTypeName>
        <LegalEntityNumber>029461761</LegalEntityNumber>
        <IsMainPartyType>true</IsMainPartyType>
        <CaseDisplayIdentifier>68495-02-24</CaseDisplayIdentifier>
        <CaseTypeID>63</CaseTypeID>
        <CaseTypeName>ערעור משפחה (עמ"ש)</CaseTypeName>
        <CaseName>נוף נ' קנדלקר ואח'</CaseName>
        <FullAddress>הרב זרביב 21 דירה 6 טירת כרמל 0</FullAddress>
        <MotionID>0</MotionID>
        <CasePleaID>0</CasePleaID>
        <BirthDate>1972-11-26T00:00:00+02:00</BirthDate>
        <FatherName>משה</FatherName>
        <LinkedCaseID>0</LinkedCaseID>
        <PartyID>2</PartyID>
        <CasePartyCategoryID>2</CasePartyCategoryID>
        <LegalEntityAddressID>86358064</LegalEntityAddressID>
        <PleaTypeID>6</PleaTypeID>
        <GroupPartyAlias>משיבים</GroupPartyAlias>
        <IsConverted>false</IsConverted>
        <LegalEntityRegisteredNameID>2045733</LegalEntityRegisteredNameID>
        <LegalEntityNameID>92914661</LegalEntityNameID>
        <RepresentatedNamesOfAssistant/>
        <LegalEntityTypeID>1</LegalEntityTypeID>
        <IsVerdictExists>false</IsVerdictExists>
        <IsAsirAzir>false</IsAsirAzir>
        <MainAndSecSpec/>
        <IsPublicationProhibited>false</IsPublicationProhibited>
        <PublicationProhibitedFullName>שמשון קנדלקר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267043163</CasePartyID>
        <PartyTypeID>1</PartyTypeID>
        <ActivityStatusID>1</ActivityStatusID>
        <PartyAliasID>4</PartyAliasID>
        <PartyAliasName>משיב</PartyAliasName>
        <OrdinalNumber>2</OrdinalNumber>
        <LegalEntityID>15841402</LegalEntityID>
        <CaseLegalEntityID>127970129</CaseLegalEntityID>
        <AuthenticationTypeID>13</AuthenticationTypeID>
        <AuthenticationTypeName>משרדי ממשלה</AuthenticationTypeName>
        <LegalEntityNumber>570000605</LegalEntityNumber>
        <IsMainPartyType>true</IsMainPartyType>
        <CaseDisplayIdentifier>68495-02-24</CaseDisplayIdentifier>
        <CaseTypeID>63</CaseTypeID>
        <CaseTypeName>ערעור משפחה (עמ"ש)</CaseTypeName>
        <CaseName>נוף נ' קנדלקר ואח'</CaseName>
        <FullAddress>פל ים 15 א' חיפה משרד המשפטים</FullAddress>
        <MotionID>0</MotionID>
        <CasePleaID>0</CasePleaID>
        <LinkedCaseID>0</LinkedCaseID>
        <PartyID>2</PartyID>
        <CasePartyCategoryID>2</CasePartyCategoryID>
        <LegalEntityAddressID>73651471</LegalEntityAddressID>
        <PleaTypeID>6</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צפורה קנדלקר ז"ל (המנוח)</FullName>
        <FirstName>צפורה</FirstName>
        <LastName>קנדלקר</LastName>
        <PartyPropertyID>12</PartyPropertyID>
        <PartyPropertyName/>
        <AuthenticationTypeAndNumber>ת"ז 025752346</AuthenticationTypeAndNumber>
        <RepresentatedOrRepresentativesNames/>
        <RepresentatedOrRepresentativesCount>0</RepresentatedOrRepresentativesCount>
        <InvitedBy/>
        <CaseID>81034573</CaseID>
        <CaseJudicialPersonPresentationDS>
          <CaseJudicalPersonActive>
            <CaseID>81034573</CaseID>
            <JudicialPersonID>056479827@GOV.IL</JudicialPersonID>
            <JudicialPersonTypeID>1</JudicialPersonTypeID>
            <JudicialTypeID>3</JudicialTypeID>
            <IsChairman>true</IsChairman>
            <TreatmentStartDate>2024-02-29T14:52:15.863+02:00</TreatmentStartDate>
            <TreatmentFinishDate>9999-12-31T23:59:59.997+02:00</TreatmentFinishDate>
            <IdentificationCardNumber>056479827</IdentificationCardNumber>
            <DisplayName>חננאל שרעבי</DisplayName>
            <JudicialTypeName>הרכב שופטים</JudicialTypeName>
            <CaseJudicialGroupNumber>570512</CaseJudicialGroupNumber>
            <FirstName>חננאל</FirstName>
            <LastName>שרעבי</LastName>
            <JudicialPersonTitle>שופט</JudicialPersonTitle>
          </CaseJudicalPersonActive>
          <CaseJudicalPersonActive>
            <CaseID>81034573</CaseID>
            <JudicialPersonID>057955775@GOV.IL</JudicialPersonID>
            <JudicialPersonTypeID>1</JudicialPersonTypeID>
            <JudicialTypeID>3</JudicialTypeID>
            <IsChairman>false</IsChairman>
            <TreatmentStartDate>2024-02-29T14:52:15.863+02:00</TreatmentStartDate>
            <TreatmentFinishDate>9999-12-31T23:59:59.997+02:00</TreatmentFinishDate>
            <IdentificationCardNumber>057955775</IdentificationCardNumber>
            <DisplayName>אספרנצה אלון</DisplayName>
            <JudicialTypeName>הרכב שופטים</JudicialTypeName>
            <CaseJudicialGroupNumber>570512</CaseJudicialGroupNumber>
            <FirstName>אספרנצה</FirstName>
            <LastName>אלון</LastName>
            <JudicialPersonTitle>שופט</JudicialPersonTitle>
          </CaseJudicalPersonActive>
          <CaseJudicalPersonActive>
            <CaseID>81034573</CaseID>
            <JudicialPersonID>058677980@GOV.IL</JudicialPersonID>
            <JudicialPersonTypeID>1</JudicialPersonTypeID>
            <JudicialTypeID>3</JudicialTypeID>
            <IsChairman>false</IsChairman>
            <TreatmentStartDate>2024-02-29T14:52:15.863+02:00</TreatmentStartDate>
            <TreatmentFinishDate>9999-12-31T23:59:59.997+02:00</TreatmentFinishDate>
            <IdentificationCardNumber>058677980</IdentificationCardNumber>
            <DisplayName>אריה נאמן</DisplayName>
            <JudicialTypeName>הרכב שופטים</JudicialTypeName>
            <CaseJudicialGroupNumber>570512</CaseJudicialGroupNumber>
            <FirstName>אריה</FirstName>
            <LastName>נאמן</LastName>
            <JudicialPersonTitle>שופט</JudicialPersonTitle>
          </CaseJudicalPersonActive>
        </CaseJudicialPersonPresentationDS>
        <CasePartyID>267043164</CasePartyID>
        <PartyTypeID>1</PartyTypeID>
        <ActivityStatusID>1</ActivityStatusID>
        <PartyAliasID>4</PartyAliasID>
        <PartyAliasName>משיב</PartyAliasName>
        <OrdinalNumber>3</OrdinalNumber>
        <LegalEntityID>21005551</LegalEntityID>
        <CaseLegalEntityID>127970130</CaseLegalEntityID>
        <AuthenticationTypeID>1</AuthenticationTypeID>
        <AuthenticationTypeName>ת"ז</AuthenticationTypeName>
        <LegalEntityNumber>025752346</LegalEntityNumber>
        <IsMainPartyType>true</IsMainPartyType>
        <CaseDisplayIdentifier>68495-02-24</CaseDisplayIdentifier>
        <CaseTypeID>63</CaseTypeID>
        <CaseTypeName>ערעור משפחה (עמ"ש)</CaseTypeName>
        <CaseName>נוף נ' קנדלקר ואח'</CaseName>
        <FullAddress/>
        <MotionID>0</MotionID>
        <CasePleaID>0</CasePleaID>
        <FatherName>משה</FatherName>
        <LinkedCaseID>0</LinkedCaseID>
        <PartyID>2</PartyID>
        <CasePartyCategoryID>2</CasePartyCategoryID>
        <PleaTypeID>6</PleaTypeID>
        <GroupPartyAlias>משיבים</GroupPartyAlias>
        <IsConverted>false</IsConverted>
        <LegalEntityRegisteredNameID>1791038</LegalEntityRegisteredNameID>
        <LegalEntityNameID>96227461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צפורה קנדלקר ז"ל (המנוח)</PublicationProhibitedFullName>
      </CaseParties>
    </CasePartiesSelectionDS>
    <CaseName>נוף נ' קנדלקר ואח'</CaseName>
    <CaseDisplayIdentifier>68495-02-24</CaseDisplayIdentifier>
    <CaseInterestID>10336</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04-8668884</Fax>
    <PartyID>2</PartyID>
    <PartyTypeID>2</PartyTypeID>
    <DecisionID>0</DecisionID>
    <StreetName>פל ים 2</StreetName>
    <ZipCode>33095</ZipCode>
    <CityName>חיפה</CityName>
    <FullName>גדלי סולן</FullName>
    <Email>solanlaw@gmail.com</Email>
    <IsPublicationProhibited>false</IsPublicationProhibited>
  </dt_LegalEntityDetails>
  <dt_LegalEntityDetails>
    <PartyID>1</PartyID>
    <PartyTypeID>1</PartyTypeID>
    <DecisionID>0</DecisionID>
    <StreetName>מדרגות שפינוזה 39</StreetName>
    <CityName>חיפה</CityName>
    <FullName>אשר  נוף</FullName>
    <Email>AsherNoff@gmail.com</Email>
    <IsPublicationProhibited>false</IsPublicationProhibited>
  </dt_LegalEntityDetails>
  <dt_LegalEntityDetails>
    <AddressDesc>0</AddressDesc>
    <PartyID>2</PartyID>
    <PartyTypeID>1</PartyTypeID>
    <DecisionID>0</DecisionID>
    <StreetName>הרב זרביב 21 דירה 6</StreetName>
    <CityName>טירת כרמל</CityName>
    <FullName>שמשון קנדלקר</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IsPublicationProhibited>false</IsPublicationProhibited>
  </dt_LegalEntityDetails>
  <dt_LegalEntityDetails>
    <PartyID>2</PartyID>
    <PartyTypeID>1</PartyTypeID>
    <DecisionID>0</DecisionID>
    <FullName>צפורה  קנדלקר ז"ל</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2024-07-15T10:00:00+03:00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D461-2BB6-440A-95E8-DFCF43ADF6A7}">
  <ds:schemaRefs/>
</ds:datastoreItem>
</file>

<file path=customXml/itemProps2.xml><?xml version="1.0" encoding="utf-8"?>
<ds:datastoreItem xmlns:ds="http://schemas.openxmlformats.org/officeDocument/2006/customXml" ds:itemID="{649957F0-94BA-4115-849C-67AAD9258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1857</Words>
  <Characters>9285</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2024-08-05T08:32:00Z</dcterms:created>
  <dcterms:modified xsi:type="dcterms:W3CDTF">2024-08-05T08:32:00Z</dcterms:modified>
</cp:coreProperties>
</file>